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E8" w:rsidRDefault="00346FE8" w:rsidP="00346FE8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F675C9" w:rsidRDefault="00F675C9" w:rsidP="00F675C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Estudio preliminar de la d</w:t>
      </w:r>
      <w:r w:rsidRPr="005A78AA">
        <w:rPr>
          <w:rFonts w:ascii="Arial" w:hAnsi="Arial" w:cs="Arial"/>
          <w:b/>
          <w:sz w:val="20"/>
          <w:szCs w:val="20"/>
        </w:rPr>
        <w:t xml:space="preserve">egradación del colorante azul índigo mediante un proceso fermentativo aerobio utilizando una cepa de </w:t>
      </w:r>
      <w:r w:rsidRPr="005A78AA">
        <w:rPr>
          <w:rFonts w:ascii="Arial" w:hAnsi="Arial" w:cs="Arial"/>
          <w:b/>
          <w:i/>
          <w:sz w:val="20"/>
          <w:szCs w:val="20"/>
        </w:rPr>
        <w:t>Citrobacter</w:t>
      </w:r>
      <w:r w:rsidR="00912331">
        <w:rPr>
          <w:rFonts w:ascii="Arial" w:hAnsi="Arial" w:cs="Arial"/>
          <w:b/>
          <w:i/>
          <w:sz w:val="20"/>
          <w:szCs w:val="20"/>
        </w:rPr>
        <w:t xml:space="preserve"> </w:t>
      </w:r>
      <w:r w:rsidRPr="005A78AA">
        <w:rPr>
          <w:rFonts w:ascii="Arial" w:hAnsi="Arial" w:cs="Arial"/>
          <w:b/>
          <w:i/>
          <w:sz w:val="20"/>
          <w:szCs w:val="20"/>
        </w:rPr>
        <w:t>freundii</w:t>
      </w:r>
      <w:r w:rsidRPr="005A78AA">
        <w:rPr>
          <w:rFonts w:ascii="Arial" w:hAnsi="Arial" w:cs="Arial"/>
          <w:b/>
          <w:sz w:val="20"/>
          <w:szCs w:val="20"/>
        </w:rPr>
        <w:t>.</w:t>
      </w:r>
    </w:p>
    <w:p w:rsidR="00BD39AE" w:rsidRPr="005A78AA" w:rsidRDefault="00BD39AE" w:rsidP="00F675C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BD39AE" w:rsidRDefault="00F675C9" w:rsidP="00F675C9">
      <w:pPr>
        <w:jc w:val="both"/>
        <w:rPr>
          <w:rFonts w:ascii="Arial" w:hAnsi="Arial" w:cs="Arial"/>
          <w:sz w:val="20"/>
          <w:szCs w:val="20"/>
          <w:vertAlign w:val="superscript"/>
        </w:rPr>
      </w:pPr>
      <w:r w:rsidRPr="007D4D61">
        <w:rPr>
          <w:rFonts w:ascii="Arial" w:hAnsi="Arial" w:cs="Arial"/>
          <w:sz w:val="20"/>
          <w:szCs w:val="20"/>
        </w:rPr>
        <w:t>Martha E. Ocaña Lóp</w:t>
      </w:r>
      <w:r>
        <w:rPr>
          <w:rFonts w:ascii="Arial" w:hAnsi="Arial" w:cs="Arial"/>
          <w:sz w:val="20"/>
          <w:szCs w:val="20"/>
        </w:rPr>
        <w:t>ez</w:t>
      </w:r>
      <w:r w:rsidRPr="00F675C9">
        <w:rPr>
          <w:rFonts w:ascii="Arial" w:hAnsi="Arial" w:cs="Arial"/>
          <w:sz w:val="20"/>
          <w:szCs w:val="20"/>
          <w:vertAlign w:val="superscript"/>
        </w:rPr>
        <w:t>a</w:t>
      </w:r>
      <w:r>
        <w:rPr>
          <w:rFonts w:ascii="Arial" w:hAnsi="Arial" w:cs="Arial"/>
          <w:sz w:val="20"/>
          <w:szCs w:val="20"/>
        </w:rPr>
        <w:t>, Gerardo  J. Sosa Santillán</w:t>
      </w:r>
      <w:r w:rsidRPr="00F675C9">
        <w:rPr>
          <w:rFonts w:ascii="Arial" w:hAnsi="Arial" w:cs="Arial"/>
          <w:sz w:val="20"/>
          <w:szCs w:val="20"/>
          <w:vertAlign w:val="superscript"/>
        </w:rPr>
        <w:t>a</w:t>
      </w:r>
      <w:r w:rsidR="00BD39AE">
        <w:rPr>
          <w:rFonts w:ascii="Arial" w:hAnsi="Arial" w:cs="Arial"/>
          <w:sz w:val="20"/>
          <w:szCs w:val="20"/>
        </w:rPr>
        <w:t>, Yolanda Garza García</w:t>
      </w:r>
      <w:r w:rsidR="00790538" w:rsidRPr="00790538">
        <w:rPr>
          <w:rFonts w:ascii="Arial" w:hAnsi="Arial" w:cs="Arial"/>
          <w:sz w:val="20"/>
          <w:szCs w:val="20"/>
          <w:vertAlign w:val="superscript"/>
        </w:rPr>
        <w:t>a</w:t>
      </w:r>
    </w:p>
    <w:p w:rsidR="00BD39AE" w:rsidRPr="00BD39AE" w:rsidRDefault="00BD39AE" w:rsidP="00F675C9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F675C9" w:rsidRDefault="00F675C9" w:rsidP="00F675C9">
      <w:pPr>
        <w:jc w:val="both"/>
        <w:rPr>
          <w:rFonts w:ascii="Arial" w:hAnsi="Arial" w:cs="Arial"/>
          <w:sz w:val="20"/>
          <w:szCs w:val="20"/>
        </w:rPr>
      </w:pPr>
      <w:r w:rsidRPr="00F675C9">
        <w:rPr>
          <w:rFonts w:ascii="Arial" w:hAnsi="Arial" w:cs="Arial"/>
          <w:sz w:val="20"/>
          <w:szCs w:val="20"/>
          <w:vertAlign w:val="superscript"/>
        </w:rPr>
        <w:t>a</w:t>
      </w:r>
      <w:r w:rsidRPr="007D4D61">
        <w:rPr>
          <w:rFonts w:ascii="Arial" w:hAnsi="Arial" w:cs="Arial"/>
          <w:sz w:val="20"/>
          <w:szCs w:val="20"/>
        </w:rPr>
        <w:t>Universidad Autónoma de Coahuila. Departamento de Biotecnología</w:t>
      </w:r>
      <w:r>
        <w:rPr>
          <w:rFonts w:ascii="Arial" w:hAnsi="Arial" w:cs="Arial"/>
          <w:sz w:val="20"/>
          <w:szCs w:val="20"/>
        </w:rPr>
        <w:t>, Facultad de Ciencias Químicas</w:t>
      </w:r>
      <w:r w:rsidRPr="007D4D61">
        <w:rPr>
          <w:rFonts w:ascii="Arial" w:hAnsi="Arial" w:cs="Arial"/>
          <w:sz w:val="20"/>
          <w:szCs w:val="20"/>
        </w:rPr>
        <w:t xml:space="preserve">. Saltillo, Coahuila. </w:t>
      </w:r>
      <w:r w:rsidRPr="00F675C9">
        <w:rPr>
          <w:rFonts w:ascii="Arial" w:hAnsi="Arial" w:cs="Arial"/>
          <w:sz w:val="20"/>
          <w:szCs w:val="20"/>
        </w:rPr>
        <w:t>Emily_26_sol@hotmail.com</w:t>
      </w:r>
      <w:r>
        <w:rPr>
          <w:rFonts w:ascii="Arial" w:hAnsi="Arial" w:cs="Arial"/>
          <w:sz w:val="20"/>
          <w:szCs w:val="20"/>
        </w:rPr>
        <w:t xml:space="preserve">, </w:t>
      </w:r>
      <w:r w:rsidR="00BD39AE" w:rsidRPr="00BD39AE">
        <w:rPr>
          <w:rFonts w:ascii="Arial" w:hAnsi="Arial" w:cs="Arial"/>
          <w:sz w:val="20"/>
          <w:szCs w:val="20"/>
        </w:rPr>
        <w:t>gdejsosa@uadec.edu.mx</w:t>
      </w:r>
    </w:p>
    <w:p w:rsidR="00BD39AE" w:rsidRDefault="00BD39AE" w:rsidP="00F675C9">
      <w:pPr>
        <w:jc w:val="both"/>
        <w:rPr>
          <w:rFonts w:ascii="Arial" w:hAnsi="Arial" w:cs="Arial"/>
          <w:sz w:val="20"/>
          <w:szCs w:val="20"/>
        </w:rPr>
      </w:pPr>
    </w:p>
    <w:p w:rsidR="00672E15" w:rsidRDefault="008A40D1" w:rsidP="00672E15">
      <w:pPr>
        <w:tabs>
          <w:tab w:val="left" w:pos="4242"/>
        </w:tabs>
        <w:rPr>
          <w:rFonts w:ascii="Arial" w:hAnsi="Arial" w:cs="Arial"/>
          <w:b/>
          <w:sz w:val="20"/>
          <w:szCs w:val="20"/>
        </w:rPr>
      </w:pPr>
      <w:r w:rsidRPr="000B0F43">
        <w:rPr>
          <w:rFonts w:ascii="Arial" w:hAnsi="Arial" w:cs="Arial"/>
          <w:b/>
          <w:sz w:val="20"/>
          <w:szCs w:val="20"/>
        </w:rPr>
        <w:t>RESUMEN</w:t>
      </w:r>
    </w:p>
    <w:p w:rsidR="00BD39AE" w:rsidRPr="00FE11BF" w:rsidRDefault="00BD39AE" w:rsidP="00BD39A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B317F">
        <w:rPr>
          <w:rFonts w:ascii="Arial" w:hAnsi="Arial" w:cs="Arial"/>
          <w:sz w:val="20"/>
          <w:szCs w:val="20"/>
        </w:rPr>
        <w:t>En la actualidad, la presencia de colorantes en las aguas residuales representa un problema ambiental, ya que este tipo de compuestos no puede eliminarse con los métodos de tratamiento convencionales</w:t>
      </w:r>
      <w:r>
        <w:rPr>
          <w:rFonts w:ascii="Arial" w:hAnsi="Arial" w:cs="Arial"/>
          <w:sz w:val="20"/>
          <w:szCs w:val="20"/>
        </w:rPr>
        <w:t>, e</w:t>
      </w:r>
      <w:r w:rsidRPr="00DB317F">
        <w:rPr>
          <w:rFonts w:ascii="Arial" w:hAnsi="Arial" w:cs="Arial"/>
          <w:sz w:val="20"/>
          <w:szCs w:val="20"/>
        </w:rPr>
        <w:t xml:space="preserve">sto se debe a la alta </w:t>
      </w:r>
      <w:r w:rsidRPr="00DB317F">
        <w:rPr>
          <w:rFonts w:ascii="Arial" w:hAnsi="Arial" w:cs="Arial"/>
          <w:color w:val="000000"/>
          <w:sz w:val="20"/>
          <w:szCs w:val="20"/>
        </w:rPr>
        <w:t>concentración de colorantes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EC22E3">
        <w:rPr>
          <w:rFonts w:ascii="Arial" w:hAnsi="Arial" w:cs="Arial"/>
          <w:sz w:val="20"/>
          <w:szCs w:val="20"/>
        </w:rPr>
        <w:t xml:space="preserve"> Para la eliminación de estos se han empleado diversos procesos, de tipo físico, químico y biológico</w:t>
      </w:r>
      <w:r>
        <w:rPr>
          <w:rFonts w:ascii="Arial" w:hAnsi="Arial" w:cs="Arial"/>
          <w:sz w:val="20"/>
          <w:szCs w:val="20"/>
        </w:rPr>
        <w:t>. Por ello este trabajo tienen por objetivo e</w:t>
      </w:r>
      <w:r w:rsidRPr="00EC22E3">
        <w:rPr>
          <w:rFonts w:ascii="Arial" w:hAnsi="Arial" w:cs="Arial"/>
          <w:sz w:val="20"/>
          <w:szCs w:val="20"/>
        </w:rPr>
        <w:t xml:space="preserve">stablecer las mejores condiciones para la biodegradación del colorante </w:t>
      </w:r>
      <w:r w:rsidRPr="00EC22E3">
        <w:rPr>
          <w:rFonts w:ascii="Arial" w:eastAsia="AGaramondPro-Regular" w:hAnsi="Arial" w:cs="Arial"/>
          <w:sz w:val="20"/>
          <w:szCs w:val="20"/>
        </w:rPr>
        <w:t>Azul índigo,</w:t>
      </w:r>
      <w:r w:rsidRPr="00EC22E3">
        <w:rPr>
          <w:rFonts w:ascii="Arial" w:hAnsi="Arial" w:cs="Arial"/>
          <w:sz w:val="20"/>
          <w:szCs w:val="20"/>
        </w:rPr>
        <w:t xml:space="preserve"> mediante un proceso fermentativo aerobio utilizando una cepa de </w:t>
      </w:r>
      <w:r w:rsidRPr="00EC22E3">
        <w:rPr>
          <w:rFonts w:ascii="Arial" w:hAnsi="Arial" w:cs="Arial"/>
          <w:i/>
          <w:sz w:val="20"/>
          <w:szCs w:val="20"/>
        </w:rPr>
        <w:t>Citrobacter</w:t>
      </w:r>
      <w:r w:rsidR="00912331">
        <w:rPr>
          <w:rFonts w:ascii="Arial" w:hAnsi="Arial" w:cs="Arial"/>
          <w:i/>
          <w:sz w:val="20"/>
          <w:szCs w:val="20"/>
        </w:rPr>
        <w:t xml:space="preserve"> </w:t>
      </w:r>
      <w:r w:rsidRPr="00EC22E3">
        <w:rPr>
          <w:rFonts w:ascii="Arial" w:hAnsi="Arial" w:cs="Arial"/>
          <w:i/>
          <w:sz w:val="20"/>
          <w:szCs w:val="20"/>
        </w:rPr>
        <w:t>freundii</w:t>
      </w:r>
      <w:r w:rsidRPr="00EC22E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Para la evaluar la degradación del colorante se realizaron cinéticas empleando diferentes concentraciones de </w:t>
      </w:r>
      <w:r w:rsidRPr="00F478D8">
        <w:rPr>
          <w:rFonts w:ascii="Arial" w:hAnsi="Arial" w:cs="Arial"/>
          <w:sz w:val="20"/>
          <w:szCs w:val="20"/>
        </w:rPr>
        <w:t xml:space="preserve">colorantes </w:t>
      </w:r>
      <w:r w:rsidR="00D007E8">
        <w:rPr>
          <w:rFonts w:ascii="Arial" w:eastAsia="AGaramondPro-Regular" w:hAnsi="Arial" w:cs="Arial"/>
          <w:sz w:val="20"/>
          <w:szCs w:val="20"/>
        </w:rPr>
        <w:t>(2.5, 5 y 7.5 ppm</w:t>
      </w:r>
      <w:r>
        <w:rPr>
          <w:rFonts w:ascii="Arial" w:eastAsia="AGaramondPro-Regular" w:hAnsi="Arial" w:cs="Arial"/>
          <w:sz w:val="20"/>
          <w:szCs w:val="20"/>
        </w:rPr>
        <w:t xml:space="preserve">) y temperaturas (30, 35 y 40 °C). Utilizando un medio mineral de referencia, la cepa empleada fue previamente adaptada a la presencia del colorante. La determinación de proteínas se realizó por el método de </w:t>
      </w:r>
      <w:r w:rsidRPr="00C751F3">
        <w:rPr>
          <w:rFonts w:ascii="Arial" w:hAnsi="Arial" w:cs="Arial"/>
          <w:color w:val="000000"/>
          <w:sz w:val="20"/>
          <w:szCs w:val="20"/>
        </w:rPr>
        <w:t>Peterson</w:t>
      </w:r>
      <w:r w:rsidR="00790538">
        <w:rPr>
          <w:rFonts w:ascii="Arial" w:hAnsi="Arial" w:cs="Arial"/>
          <w:color w:val="000000"/>
          <w:sz w:val="20"/>
          <w:szCs w:val="20"/>
        </w:rPr>
        <w:t xml:space="preserve"> modificado</w:t>
      </w:r>
      <w:r w:rsidRPr="00C751F3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Para el análisis de datos se utilizó</w:t>
      </w:r>
      <w:r w:rsidRPr="00C751F3">
        <w:rPr>
          <w:rFonts w:ascii="Arial" w:hAnsi="Arial" w:cs="Arial"/>
          <w:color w:val="000000"/>
          <w:sz w:val="20"/>
          <w:szCs w:val="20"/>
        </w:rPr>
        <w:t xml:space="preserve"> un diseño completamente al azar con arreglo de parcelas divididas, siendo la concentración del colorante el factor principal.</w:t>
      </w:r>
      <w:r>
        <w:rPr>
          <w:rFonts w:ascii="Arial" w:hAnsi="Arial" w:cs="Arial"/>
          <w:color w:val="000000"/>
          <w:sz w:val="20"/>
          <w:szCs w:val="20"/>
        </w:rPr>
        <w:t xml:space="preserve"> La variable a evaluar fue el porcentaje de degradación. Los resultados muestran</w:t>
      </w:r>
      <w:r>
        <w:rPr>
          <w:rFonts w:ascii="Arial" w:hAnsi="Arial" w:cs="Arial"/>
          <w:sz w:val="20"/>
          <w:szCs w:val="20"/>
        </w:rPr>
        <w:t xml:space="preserve"> que</w:t>
      </w:r>
      <w:r w:rsidRPr="00D32D7A">
        <w:rPr>
          <w:rFonts w:ascii="Arial" w:hAnsi="Arial" w:cs="Arial"/>
          <w:sz w:val="20"/>
          <w:szCs w:val="20"/>
        </w:rPr>
        <w:t xml:space="preserve"> se logró degradar el colorante Azul índigo eficientemente, obteniendo hasta 56 %  de remoción. El sistema que tuvo mayor porcentaje de degradación fue bajo las siguientes c</w:t>
      </w:r>
      <w:r w:rsidR="00D007E8">
        <w:rPr>
          <w:rFonts w:ascii="Arial" w:hAnsi="Arial" w:cs="Arial"/>
          <w:sz w:val="20"/>
          <w:szCs w:val="20"/>
        </w:rPr>
        <w:t>ondiciones: 5 ppm</w:t>
      </w:r>
      <w:r>
        <w:rPr>
          <w:rFonts w:ascii="Arial" w:hAnsi="Arial" w:cs="Arial"/>
          <w:sz w:val="20"/>
          <w:szCs w:val="20"/>
        </w:rPr>
        <w:t xml:space="preserve"> del colorante y 35 °C</w:t>
      </w:r>
      <w:r w:rsidRPr="00D32D7A">
        <w:rPr>
          <w:rFonts w:ascii="Arial" w:hAnsi="Arial" w:cs="Arial"/>
          <w:sz w:val="20"/>
          <w:szCs w:val="20"/>
        </w:rPr>
        <w:t>.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Pr="00FE11BF">
        <w:rPr>
          <w:rFonts w:ascii="Arial" w:hAnsi="Arial" w:cs="Arial"/>
          <w:sz w:val="20"/>
          <w:szCs w:val="20"/>
        </w:rPr>
        <w:t>El porcentaje y la velocidad de degradación del Azul índigo son directamente proporcionales a la concentración inicial del colorante y se modela como un decaimiento exponencial con respecto al tiempo.</w:t>
      </w:r>
    </w:p>
    <w:p w:rsidR="00BD39AE" w:rsidRDefault="00BD39AE" w:rsidP="00672E15">
      <w:pPr>
        <w:tabs>
          <w:tab w:val="left" w:pos="4242"/>
        </w:tabs>
        <w:rPr>
          <w:rFonts w:ascii="Arial" w:hAnsi="Arial" w:cs="Arial"/>
          <w:b/>
          <w:sz w:val="20"/>
          <w:szCs w:val="20"/>
        </w:rPr>
      </w:pPr>
    </w:p>
    <w:p w:rsidR="00672E15" w:rsidRPr="00D32D7A" w:rsidRDefault="00672E15" w:rsidP="00672E15">
      <w:pPr>
        <w:tabs>
          <w:tab w:val="left" w:pos="4242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D39AE" w:rsidRDefault="00672E15" w:rsidP="00BD39AE">
      <w:pPr>
        <w:tabs>
          <w:tab w:val="left" w:pos="3270"/>
          <w:tab w:val="left" w:pos="4242"/>
        </w:tabs>
        <w:rPr>
          <w:rFonts w:ascii="Arial" w:hAnsi="Arial" w:cs="Arial"/>
          <w:color w:val="131313"/>
          <w:sz w:val="20"/>
          <w:szCs w:val="20"/>
        </w:rPr>
      </w:pPr>
      <w:r w:rsidRPr="005A78AA">
        <w:rPr>
          <w:rFonts w:ascii="Arial" w:hAnsi="Arial" w:cs="Arial"/>
          <w:b/>
          <w:color w:val="131313"/>
          <w:sz w:val="20"/>
          <w:szCs w:val="20"/>
        </w:rPr>
        <w:t xml:space="preserve">Palabras clave: </w:t>
      </w:r>
      <w:r w:rsidRPr="005A78AA">
        <w:rPr>
          <w:rFonts w:ascii="Arial" w:hAnsi="Arial" w:cs="Arial"/>
          <w:color w:val="131313"/>
          <w:sz w:val="20"/>
          <w:szCs w:val="20"/>
        </w:rPr>
        <w:t xml:space="preserve">Biodegradación, </w:t>
      </w:r>
      <w:r w:rsidRPr="00E84D34">
        <w:rPr>
          <w:rFonts w:ascii="Arial" w:hAnsi="Arial" w:cs="Arial"/>
          <w:i/>
          <w:color w:val="131313"/>
          <w:sz w:val="20"/>
          <w:szCs w:val="20"/>
        </w:rPr>
        <w:t>Citrobacter</w:t>
      </w:r>
      <w:r w:rsidR="00912331">
        <w:rPr>
          <w:rFonts w:ascii="Arial" w:hAnsi="Arial" w:cs="Arial"/>
          <w:i/>
          <w:color w:val="131313"/>
          <w:sz w:val="20"/>
          <w:szCs w:val="20"/>
        </w:rPr>
        <w:t xml:space="preserve"> </w:t>
      </w:r>
      <w:r w:rsidRPr="00E84D34">
        <w:rPr>
          <w:rFonts w:ascii="Arial" w:hAnsi="Arial" w:cs="Arial"/>
          <w:i/>
          <w:color w:val="131313"/>
          <w:sz w:val="20"/>
          <w:szCs w:val="20"/>
        </w:rPr>
        <w:t>freundii</w:t>
      </w:r>
      <w:r w:rsidRPr="005A78AA">
        <w:rPr>
          <w:rFonts w:ascii="Arial" w:hAnsi="Arial" w:cs="Arial"/>
          <w:color w:val="131313"/>
          <w:sz w:val="20"/>
          <w:szCs w:val="20"/>
        </w:rPr>
        <w:t>, Colorantes indigoides.</w:t>
      </w:r>
    </w:p>
    <w:p w:rsidR="001F4ACF" w:rsidRPr="00BD39AE" w:rsidRDefault="00BD39AE" w:rsidP="00BD39AE">
      <w:pPr>
        <w:tabs>
          <w:tab w:val="left" w:pos="3270"/>
          <w:tab w:val="left" w:pos="4242"/>
        </w:tabs>
        <w:rPr>
          <w:rFonts w:ascii="Arial" w:hAnsi="Arial" w:cs="Arial"/>
          <w:color w:val="131313"/>
          <w:sz w:val="20"/>
          <w:szCs w:val="20"/>
        </w:rPr>
      </w:pPr>
      <w:r w:rsidRPr="00672E15">
        <w:rPr>
          <w:rFonts w:ascii="Arial" w:hAnsi="Arial" w:cs="Arial"/>
          <w:b/>
          <w:sz w:val="20"/>
          <w:szCs w:val="20"/>
        </w:rPr>
        <w:lastRenderedPageBreak/>
        <w:t xml:space="preserve">INTRODUCCIÓN </w:t>
      </w:r>
    </w:p>
    <w:p w:rsidR="0020242F" w:rsidRDefault="0020242F" w:rsidP="00EE019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  <w:sectPr w:rsidR="0020242F" w:rsidSect="00BD6B69">
          <w:headerReference w:type="default" r:id="rId7"/>
          <w:footerReference w:type="default" r:id="rId8"/>
          <w:pgSz w:w="12240" w:h="15840"/>
          <w:pgMar w:top="1701" w:right="1701" w:bottom="1701" w:left="1701" w:header="708" w:footer="708" w:gutter="0"/>
          <w:cols w:space="708"/>
          <w:docGrid w:linePitch="360"/>
        </w:sectPr>
      </w:pPr>
    </w:p>
    <w:p w:rsidR="0020242F" w:rsidRDefault="00672E15" w:rsidP="00BD6B6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72E15">
        <w:rPr>
          <w:rFonts w:ascii="Arial" w:eastAsiaTheme="minorHAnsi" w:hAnsi="Arial" w:cs="Arial"/>
          <w:sz w:val="20"/>
          <w:szCs w:val="20"/>
          <w:lang w:eastAsia="en-US"/>
        </w:rPr>
        <w:lastRenderedPageBreak/>
        <w:t>En la actualidad, como una consecuencia de la industrialización, el mundo enfrenta problemas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 xml:space="preserve">de contaminación </w:t>
      </w:r>
      <w:r w:rsidR="00EE0199">
        <w:rPr>
          <w:rFonts w:ascii="Arial" w:eastAsiaTheme="minorHAnsi" w:hAnsi="Arial" w:cs="Arial"/>
          <w:sz w:val="20"/>
          <w:szCs w:val="20"/>
          <w:lang w:eastAsia="en-US"/>
        </w:rPr>
        <w:t>ambiental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. Este problema se vuelve día a día más importante a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pesar de que existen tratamientos de remoción de contaminantes y programas de reducción y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disposición de residuos; en muchos de estos procesos, el problema se elimina solo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parcialmente o al resolverlo, se genera otro, debido a la difícil degradación total de los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residuos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A4118B" w:rsidRPr="00E42642">
        <w:rPr>
          <w:rFonts w:ascii="Arial" w:hAnsi="Arial" w:cs="Arial"/>
          <w:sz w:val="20"/>
          <w:szCs w:val="20"/>
        </w:rPr>
        <w:t>(</w:t>
      </w:r>
      <w:r w:rsidR="00A4118B">
        <w:rPr>
          <w:rFonts w:ascii="Arial" w:hAnsi="Arial" w:cs="Arial"/>
          <w:sz w:val="20"/>
          <w:szCs w:val="20"/>
        </w:rPr>
        <w:t>Cervantes, 2007</w:t>
      </w:r>
      <w:r w:rsidR="00A4118B" w:rsidRPr="00E42642">
        <w:rPr>
          <w:rFonts w:ascii="Arial" w:hAnsi="Arial" w:cs="Arial"/>
          <w:sz w:val="20"/>
          <w:szCs w:val="20"/>
        </w:rPr>
        <w:t>)</w:t>
      </w:r>
      <w:r w:rsidR="00A4118B" w:rsidRPr="00672E15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Una opción con la que es posible mineralizar completamente los contaminantes son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72E15">
        <w:rPr>
          <w:rFonts w:ascii="Arial" w:eastAsiaTheme="minorHAnsi" w:hAnsi="Arial" w:cs="Arial"/>
          <w:sz w:val="20"/>
          <w:szCs w:val="20"/>
          <w:lang w:eastAsia="en-US"/>
        </w:rPr>
        <w:t>los procesos biológicos</w:t>
      </w:r>
      <w:r w:rsidR="00A4118B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D007E8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EE0199" w:rsidRPr="00EE0199">
        <w:rPr>
          <w:rFonts w:ascii="Arial" w:hAnsi="Arial" w:cs="Arial"/>
          <w:sz w:val="20"/>
          <w:szCs w:val="20"/>
        </w:rPr>
        <w:t>La biodegradación de colorantes utilizados en la industria textil ha sido objetivo de investigación desde hace ya algunos años debido al problema de contaminación ambiental que representan. (</w:t>
      </w:r>
      <w:r w:rsidR="00FB5FA3">
        <w:rPr>
          <w:rFonts w:ascii="Arial" w:hAnsi="Arial" w:cs="Arial"/>
          <w:sz w:val="20"/>
          <w:szCs w:val="20"/>
        </w:rPr>
        <w:t>Cai</w:t>
      </w:r>
      <w:r w:rsidR="00912331">
        <w:rPr>
          <w:rFonts w:ascii="Arial" w:hAnsi="Arial" w:cs="Arial"/>
          <w:sz w:val="20"/>
          <w:szCs w:val="20"/>
        </w:rPr>
        <w:t xml:space="preserve"> </w:t>
      </w:r>
      <w:r w:rsidR="00EE0199" w:rsidRPr="00EE0199">
        <w:rPr>
          <w:rFonts w:ascii="Arial" w:hAnsi="Arial" w:cs="Arial"/>
          <w:i/>
          <w:sz w:val="20"/>
          <w:szCs w:val="20"/>
        </w:rPr>
        <w:t>et al</w:t>
      </w:r>
      <w:r w:rsidR="00FB5FA3">
        <w:rPr>
          <w:rFonts w:ascii="Arial" w:hAnsi="Arial" w:cs="Arial"/>
          <w:i/>
          <w:sz w:val="20"/>
          <w:szCs w:val="20"/>
        </w:rPr>
        <w:t>.,</w:t>
      </w:r>
      <w:r w:rsidR="00EE0199" w:rsidRPr="00EE0199">
        <w:rPr>
          <w:rFonts w:ascii="Arial" w:hAnsi="Arial" w:cs="Arial"/>
          <w:sz w:val="20"/>
          <w:szCs w:val="20"/>
        </w:rPr>
        <w:t xml:space="preserve"> 2009).</w:t>
      </w:r>
      <w:r w:rsidR="00EE0199" w:rsidRPr="00EE0199">
        <w:rPr>
          <w:rFonts w:ascii="Arial" w:eastAsia="AGaramondPro-Regular" w:hAnsi="Arial" w:cs="Arial"/>
          <w:color w:val="000000"/>
          <w:sz w:val="20"/>
          <w:szCs w:val="20"/>
        </w:rPr>
        <w:t xml:space="preserve">Es por ello que se está generando una fuerte demanda de tecnologías que permitan eliminar el color en las aguas residuales. Sin embargo, algunas tecnologías son altamente específicas, tienen costos elevados, y no se aplican para una amplia variedad de colorantes  </w:t>
      </w:r>
      <w:r w:rsidR="00EE0199" w:rsidRPr="00EE0199">
        <w:rPr>
          <w:rFonts w:ascii="Arial" w:eastAsia="AGaramondPro-Regular" w:hAnsi="Arial" w:cs="Arial"/>
          <w:sz w:val="20"/>
          <w:szCs w:val="20"/>
        </w:rPr>
        <w:t>(Anjaneyulu</w:t>
      </w:r>
      <w:r w:rsidR="00912331">
        <w:rPr>
          <w:rFonts w:ascii="Arial" w:eastAsia="AGaramondPro-Regular" w:hAnsi="Arial" w:cs="Arial"/>
          <w:sz w:val="20"/>
          <w:szCs w:val="20"/>
        </w:rPr>
        <w:t xml:space="preserve"> </w:t>
      </w:r>
      <w:r w:rsidR="00EE0199" w:rsidRPr="00EE0199">
        <w:rPr>
          <w:rFonts w:ascii="Arial" w:eastAsia="AGaramondPro-Regular" w:hAnsi="Arial" w:cs="Arial"/>
          <w:i/>
          <w:iCs/>
          <w:sz w:val="20"/>
          <w:szCs w:val="20"/>
        </w:rPr>
        <w:t xml:space="preserve">et al., </w:t>
      </w:r>
      <w:r w:rsidR="00EE0199" w:rsidRPr="00EE0199">
        <w:rPr>
          <w:rFonts w:ascii="Arial" w:eastAsia="AGaramondPro-Regular" w:hAnsi="Arial" w:cs="Arial"/>
          <w:sz w:val="20"/>
          <w:szCs w:val="20"/>
        </w:rPr>
        <w:t xml:space="preserve">2005). </w:t>
      </w:r>
    </w:p>
    <w:p w:rsidR="0020242F" w:rsidRDefault="0020242F" w:rsidP="00BD6B6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0242F" w:rsidRDefault="008A40D1" w:rsidP="00BD6B6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0242F">
        <w:rPr>
          <w:rFonts w:ascii="Arial" w:hAnsi="Arial" w:cs="Arial"/>
          <w:b/>
          <w:sz w:val="20"/>
          <w:szCs w:val="20"/>
        </w:rPr>
        <w:t xml:space="preserve">METODOLOGÍA </w:t>
      </w:r>
    </w:p>
    <w:p w:rsidR="005B3A41" w:rsidRPr="00D007E8" w:rsidRDefault="00451F1A" w:rsidP="00C56E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51F1A">
        <w:rPr>
          <w:rFonts w:ascii="Arial" w:eastAsia="AGaramondPro-Regular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38.2pt;margin-top:7.5pt;width:233.25pt;height:5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" strokecolor="white [3212]">
            <v:textbox>
              <w:txbxContent>
                <w:p w:rsidR="00F10E37" w:rsidRPr="00F10E37" w:rsidRDefault="00F10E37" w:rsidP="00F10E37">
                  <w:pPr>
                    <w:shd w:val="clear" w:color="auto" w:fill="FFFFFF"/>
                    <w:spacing w:after="0" w:line="240" w:lineRule="auto"/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</w:pPr>
                  <w:r w:rsidRPr="00F10E37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 xml:space="preserve">(Absorbancia inicial) – (Absorbancia final) </w:t>
                  </w:r>
                </w:p>
                <w:p w:rsidR="00F10E37" w:rsidRPr="00F10E37" w:rsidRDefault="00F10E37" w:rsidP="00F10E3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</w:pPr>
                  <w:r w:rsidRPr="00F10E37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 xml:space="preserve">                    (Absorbancia inicial)</w:t>
                  </w:r>
                </w:p>
                <w:p w:rsidR="00F10E37" w:rsidRDefault="00F10E37" w:rsidP="00F10E37">
                  <w:pPr>
                    <w:spacing w:after="0"/>
                  </w:pPr>
                </w:p>
              </w:txbxContent>
            </v:textbox>
          </v:shape>
        </w:pict>
      </w:r>
      <w:r w:rsidR="006252CC" w:rsidRPr="006252CC">
        <w:rPr>
          <w:rFonts w:ascii="Arial" w:hAnsi="Arial" w:cs="Arial"/>
          <w:color w:val="000000"/>
          <w:sz w:val="20"/>
          <w:szCs w:val="20"/>
        </w:rPr>
        <w:t xml:space="preserve">Se </w:t>
      </w:r>
      <w:r w:rsidR="00790538">
        <w:rPr>
          <w:rFonts w:ascii="Arial" w:hAnsi="Arial" w:cs="Arial"/>
          <w:color w:val="000000"/>
          <w:sz w:val="20"/>
          <w:szCs w:val="20"/>
        </w:rPr>
        <w:t>empleó</w:t>
      </w:r>
      <w:r w:rsidR="006252CC" w:rsidRPr="006252CC">
        <w:rPr>
          <w:rFonts w:ascii="Arial" w:hAnsi="Arial" w:cs="Arial"/>
          <w:color w:val="000000"/>
          <w:sz w:val="20"/>
          <w:szCs w:val="20"/>
        </w:rPr>
        <w:t xml:space="preserve"> como modelo de estudio el colorante;  Azul índigo</w:t>
      </w:r>
      <w:r w:rsidR="00CD2918">
        <w:rPr>
          <w:rFonts w:ascii="Arial" w:hAnsi="Arial" w:cs="Arial"/>
          <w:sz w:val="20"/>
          <w:szCs w:val="20"/>
        </w:rPr>
        <w:t xml:space="preserve">, el cual fue diluido </w:t>
      </w:r>
      <w:r w:rsidR="006252CC" w:rsidRPr="006252CC">
        <w:rPr>
          <w:rFonts w:ascii="Arial" w:hAnsi="Arial" w:cs="Arial"/>
          <w:sz w:val="20"/>
          <w:szCs w:val="20"/>
        </w:rPr>
        <w:t>con agua destilada al 0.5%</w:t>
      </w:r>
      <w:r w:rsidR="00BD6B69" w:rsidRPr="00BD6B69">
        <w:rPr>
          <w:rFonts w:ascii="Arial" w:hAnsi="Arial" w:cs="Arial"/>
          <w:sz w:val="20"/>
          <w:szCs w:val="20"/>
        </w:rPr>
        <w:t xml:space="preserve"> posteriormente se esteriliz</w:t>
      </w:r>
      <w:r w:rsidR="00790538">
        <w:rPr>
          <w:rFonts w:ascii="Arial" w:hAnsi="Arial" w:cs="Arial"/>
          <w:sz w:val="20"/>
          <w:szCs w:val="20"/>
        </w:rPr>
        <w:t>o para evitar cualquier contaminación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="00BD6B69" w:rsidRPr="00BD6B69">
        <w:rPr>
          <w:rFonts w:ascii="Arial" w:hAnsi="Arial" w:cs="Arial"/>
          <w:sz w:val="20"/>
          <w:szCs w:val="20"/>
        </w:rPr>
        <w:lastRenderedPageBreak/>
        <w:t>posible.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="006252CC" w:rsidRPr="006252CC">
        <w:rPr>
          <w:rFonts w:ascii="Arial" w:hAnsi="Arial" w:cs="Arial"/>
          <w:sz w:val="20"/>
          <w:szCs w:val="20"/>
        </w:rPr>
        <w:t xml:space="preserve">Se </w:t>
      </w:r>
      <w:r w:rsidR="00790538">
        <w:rPr>
          <w:rFonts w:ascii="Arial" w:hAnsi="Arial" w:cs="Arial"/>
          <w:sz w:val="20"/>
          <w:szCs w:val="20"/>
        </w:rPr>
        <w:t>utilizó</w:t>
      </w:r>
      <w:r w:rsidR="006252CC">
        <w:rPr>
          <w:rFonts w:ascii="Arial" w:hAnsi="Arial" w:cs="Arial"/>
          <w:sz w:val="20"/>
          <w:szCs w:val="20"/>
        </w:rPr>
        <w:t xml:space="preserve"> una cepa de </w:t>
      </w:r>
      <w:r w:rsidR="006252CC" w:rsidRPr="00BD39AE">
        <w:rPr>
          <w:rFonts w:ascii="Arial" w:hAnsi="Arial" w:cs="Arial"/>
          <w:i/>
          <w:sz w:val="20"/>
          <w:szCs w:val="20"/>
        </w:rPr>
        <w:t>Citrobacter</w:t>
      </w:r>
      <w:r w:rsidR="00912331">
        <w:rPr>
          <w:rFonts w:ascii="Arial" w:hAnsi="Arial" w:cs="Arial"/>
          <w:i/>
          <w:sz w:val="20"/>
          <w:szCs w:val="20"/>
        </w:rPr>
        <w:t xml:space="preserve"> </w:t>
      </w:r>
      <w:r w:rsidR="006252CC" w:rsidRPr="00BD39AE">
        <w:rPr>
          <w:rFonts w:ascii="Arial" w:hAnsi="Arial" w:cs="Arial"/>
          <w:i/>
          <w:sz w:val="20"/>
          <w:szCs w:val="20"/>
        </w:rPr>
        <w:t>freundii</w:t>
      </w:r>
      <w:r w:rsidR="006252CC">
        <w:rPr>
          <w:rFonts w:ascii="Arial" w:hAnsi="Arial" w:cs="Arial"/>
          <w:sz w:val="20"/>
          <w:szCs w:val="20"/>
        </w:rPr>
        <w:t xml:space="preserve"> previamente adapta</w:t>
      </w:r>
      <w:r w:rsidR="00CD2918">
        <w:rPr>
          <w:rFonts w:ascii="Arial" w:hAnsi="Arial" w:cs="Arial"/>
          <w:sz w:val="20"/>
          <w:szCs w:val="20"/>
        </w:rPr>
        <w:t>da a la presencia del colorante.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="003C1065" w:rsidRPr="00EF7E2C">
        <w:rPr>
          <w:rFonts w:ascii="Arial" w:eastAsia="AGaramondPro-Regular" w:hAnsi="Arial" w:cs="Arial"/>
          <w:sz w:val="20"/>
          <w:szCs w:val="20"/>
        </w:rPr>
        <w:t>Con re</w:t>
      </w:r>
      <w:r w:rsidR="003C1065">
        <w:rPr>
          <w:rFonts w:ascii="Arial" w:eastAsia="AGaramondPro-Regular" w:hAnsi="Arial" w:cs="Arial"/>
          <w:sz w:val="20"/>
          <w:szCs w:val="20"/>
        </w:rPr>
        <w:t>specto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a la cinética</w:t>
      </w:r>
      <w:r w:rsidR="003C1065">
        <w:rPr>
          <w:rFonts w:ascii="Arial" w:eastAsia="AGaramondPro-Regular" w:hAnsi="Arial" w:cs="Arial"/>
          <w:sz w:val="20"/>
          <w:szCs w:val="20"/>
        </w:rPr>
        <w:t xml:space="preserve"> de degradación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, se </w:t>
      </w:r>
      <w:r w:rsidR="00790538" w:rsidRPr="00EF7E2C">
        <w:rPr>
          <w:rFonts w:ascii="Arial" w:eastAsia="AGaramondPro-Regular" w:hAnsi="Arial" w:cs="Arial"/>
          <w:sz w:val="20"/>
          <w:szCs w:val="20"/>
        </w:rPr>
        <w:t>preparó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medio mineral</w:t>
      </w:r>
      <w:r w:rsidR="00435F15">
        <w:rPr>
          <w:rFonts w:ascii="Arial" w:eastAsia="AGaramondPro-Regular" w:hAnsi="Arial" w:cs="Arial"/>
          <w:sz w:val="20"/>
          <w:szCs w:val="20"/>
        </w:rPr>
        <w:t xml:space="preserve"> (40 mL)</w:t>
      </w:r>
      <w:r w:rsidR="00790538">
        <w:rPr>
          <w:rFonts w:ascii="Arial" w:eastAsia="AGaramondPro-Regular" w:hAnsi="Arial" w:cs="Arial"/>
          <w:sz w:val="20"/>
          <w:szCs w:val="20"/>
        </w:rPr>
        <w:t>de acuerdo a lo siguiente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>: Cloruro de sodio 0.5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>, Cloruro de potasio</w:t>
      </w:r>
      <w:r w:rsidR="003C1065">
        <w:rPr>
          <w:rFonts w:ascii="Arial" w:hAnsi="Arial" w:cs="Arial"/>
          <w:color w:val="000000"/>
          <w:sz w:val="20"/>
          <w:szCs w:val="20"/>
        </w:rPr>
        <w:t xml:space="preserve"> 0.5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>, Fosfato de potasio</w:t>
      </w:r>
      <w:r w:rsidR="003C1065">
        <w:rPr>
          <w:rFonts w:ascii="Arial" w:hAnsi="Arial" w:cs="Arial"/>
          <w:color w:val="000000"/>
          <w:sz w:val="20"/>
          <w:szCs w:val="20"/>
        </w:rPr>
        <w:t xml:space="preserve"> 0.2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 xml:space="preserve">, Nitrato de </w:t>
      </w:r>
      <w:r w:rsidR="003C1065">
        <w:rPr>
          <w:rFonts w:ascii="Arial" w:hAnsi="Arial" w:cs="Arial"/>
          <w:color w:val="000000"/>
          <w:sz w:val="20"/>
          <w:szCs w:val="20"/>
        </w:rPr>
        <w:t>sodio 0.3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 xml:space="preserve">, Sulfato de </w:t>
      </w:r>
      <w:r w:rsidR="003C1065">
        <w:rPr>
          <w:rFonts w:ascii="Arial" w:hAnsi="Arial" w:cs="Arial"/>
          <w:color w:val="000000"/>
          <w:sz w:val="20"/>
          <w:szCs w:val="20"/>
        </w:rPr>
        <w:t>magnesio 0.001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>, Agar bacteriológico</w:t>
      </w:r>
      <w:r w:rsidR="003C1065">
        <w:rPr>
          <w:rFonts w:ascii="Arial" w:hAnsi="Arial" w:cs="Arial"/>
          <w:color w:val="000000"/>
          <w:sz w:val="20"/>
          <w:szCs w:val="20"/>
        </w:rPr>
        <w:t xml:space="preserve"> 0.5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hAnsi="Arial" w:cs="Arial"/>
          <w:color w:val="000000"/>
          <w:sz w:val="20"/>
          <w:szCs w:val="20"/>
        </w:rPr>
        <w:t xml:space="preserve"> y  Glucosa  0.5</w:t>
      </w:r>
      <w:r w:rsidR="00435F15">
        <w:rPr>
          <w:rFonts w:ascii="Arial" w:hAnsi="Arial" w:cs="Arial"/>
          <w:color w:val="000000"/>
          <w:sz w:val="20"/>
          <w:szCs w:val="20"/>
        </w:rPr>
        <w:t>%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a </w:t>
      </w:r>
      <w:r w:rsidR="00790538">
        <w:rPr>
          <w:rFonts w:ascii="Arial" w:eastAsia="AGaramondPro-Regular" w:hAnsi="Arial" w:cs="Arial"/>
          <w:sz w:val="20"/>
          <w:szCs w:val="20"/>
        </w:rPr>
        <w:t>pH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8</w:t>
      </w:r>
      <w:r w:rsidR="00435F15">
        <w:rPr>
          <w:rFonts w:ascii="Arial" w:eastAsia="AGaramondPro-Regular" w:hAnsi="Arial" w:cs="Arial"/>
          <w:sz w:val="20"/>
          <w:szCs w:val="20"/>
        </w:rPr>
        <w:t>;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  también se </w:t>
      </w:r>
      <w:r w:rsidR="00790538" w:rsidRPr="00EF7E2C">
        <w:rPr>
          <w:rFonts w:ascii="Arial" w:eastAsia="AGaramondPro-Regular" w:hAnsi="Arial" w:cs="Arial"/>
          <w:sz w:val="20"/>
          <w:szCs w:val="20"/>
        </w:rPr>
        <w:t>preparó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 un matraz de medio liquido</w:t>
      </w:r>
      <w:r w:rsidR="00435F15">
        <w:rPr>
          <w:rFonts w:ascii="Arial" w:eastAsia="AGaramondPro-Regular" w:hAnsi="Arial" w:cs="Arial"/>
          <w:sz w:val="20"/>
          <w:szCs w:val="20"/>
        </w:rPr>
        <w:t xml:space="preserve"> (50 mL):</w:t>
      </w:r>
      <w:r w:rsidR="00435F15">
        <w:rPr>
          <w:rFonts w:ascii="Arial" w:hAnsi="Arial" w:cs="Arial"/>
          <w:sz w:val="20"/>
          <w:szCs w:val="20"/>
        </w:rPr>
        <w:t>c</w:t>
      </w:r>
      <w:r w:rsidR="003C1065" w:rsidRPr="00EF7E2C">
        <w:rPr>
          <w:rFonts w:ascii="Arial" w:hAnsi="Arial" w:cs="Arial"/>
          <w:sz w:val="20"/>
          <w:szCs w:val="20"/>
        </w:rPr>
        <w:t>aldo nutritivo 0.8</w:t>
      </w:r>
      <w:r w:rsidR="00435F15">
        <w:rPr>
          <w:rFonts w:ascii="Arial" w:hAnsi="Arial" w:cs="Arial"/>
          <w:sz w:val="20"/>
          <w:szCs w:val="20"/>
        </w:rPr>
        <w:t>%</w:t>
      </w:r>
      <w:r w:rsidR="003C1065">
        <w:rPr>
          <w:rFonts w:ascii="Arial" w:hAnsi="Arial" w:cs="Arial"/>
          <w:color w:val="000000"/>
          <w:sz w:val="20"/>
          <w:szCs w:val="20"/>
        </w:rPr>
        <w:t xml:space="preserve">, </w:t>
      </w:r>
      <w:r w:rsidR="00435F15">
        <w:rPr>
          <w:rFonts w:ascii="Arial" w:hAnsi="Arial" w:cs="Arial"/>
          <w:color w:val="000000"/>
          <w:sz w:val="20"/>
          <w:szCs w:val="20"/>
        </w:rPr>
        <w:t>p</w:t>
      </w:r>
      <w:r w:rsidR="003C1065" w:rsidRPr="00EF7E2C">
        <w:rPr>
          <w:rFonts w:ascii="Arial" w:hAnsi="Arial" w:cs="Arial"/>
          <w:sz w:val="20"/>
          <w:szCs w:val="20"/>
        </w:rPr>
        <w:t>eptona de caseína 0.3</w:t>
      </w:r>
      <w:r w:rsidR="00435F15">
        <w:rPr>
          <w:rFonts w:ascii="Arial" w:hAnsi="Arial" w:cs="Arial"/>
          <w:sz w:val="20"/>
          <w:szCs w:val="20"/>
        </w:rPr>
        <w:t>%</w:t>
      </w:r>
      <w:r w:rsidR="003C1065">
        <w:rPr>
          <w:rFonts w:ascii="Arial" w:hAnsi="Arial" w:cs="Arial"/>
          <w:color w:val="000000"/>
          <w:sz w:val="20"/>
          <w:szCs w:val="20"/>
        </w:rPr>
        <w:t xml:space="preserve">, </w:t>
      </w:r>
      <w:r w:rsidR="00435F15">
        <w:rPr>
          <w:rFonts w:ascii="Arial" w:hAnsi="Arial" w:cs="Arial"/>
          <w:color w:val="000000"/>
          <w:sz w:val="20"/>
          <w:szCs w:val="20"/>
        </w:rPr>
        <w:t>e</w:t>
      </w:r>
      <w:r w:rsidR="003C1065" w:rsidRPr="00EF7E2C">
        <w:rPr>
          <w:rFonts w:ascii="Arial" w:hAnsi="Arial" w:cs="Arial"/>
          <w:sz w:val="20"/>
          <w:szCs w:val="20"/>
        </w:rPr>
        <w:t>xtracto de levadura 0.2</w:t>
      </w:r>
      <w:r w:rsidR="00435F15">
        <w:rPr>
          <w:rFonts w:ascii="Arial" w:hAnsi="Arial" w:cs="Arial"/>
          <w:sz w:val="20"/>
          <w:szCs w:val="20"/>
        </w:rPr>
        <w:t>%.</w:t>
      </w:r>
      <w:r w:rsidR="00435F15">
        <w:rPr>
          <w:rFonts w:ascii="Arial" w:eastAsia="AGaramondPro-Regular" w:hAnsi="Arial" w:cs="Arial"/>
          <w:sz w:val="20"/>
          <w:szCs w:val="20"/>
        </w:rPr>
        <w:t>, S</w:t>
      </w:r>
      <w:r w:rsidR="00790538">
        <w:rPr>
          <w:rFonts w:ascii="Arial" w:eastAsia="AGaramondPro-Regular" w:hAnsi="Arial" w:cs="Arial"/>
          <w:sz w:val="20"/>
          <w:szCs w:val="20"/>
        </w:rPr>
        <w:t>e inoculó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la cepa en el medio </w:t>
      </w:r>
      <w:r w:rsidR="00790538" w:rsidRPr="00EF7E2C">
        <w:rPr>
          <w:rFonts w:ascii="Arial" w:eastAsia="AGaramondPro-Regular" w:hAnsi="Arial" w:cs="Arial"/>
          <w:sz w:val="20"/>
          <w:szCs w:val="20"/>
        </w:rPr>
        <w:t>líquido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y se </w:t>
      </w:r>
      <w:r w:rsidR="00790538">
        <w:rPr>
          <w:rFonts w:ascii="Arial" w:eastAsia="AGaramondPro-Regular" w:hAnsi="Arial" w:cs="Arial"/>
          <w:sz w:val="20"/>
          <w:szCs w:val="20"/>
        </w:rPr>
        <w:t xml:space="preserve">puso a incubar en 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agitación </w:t>
      </w:r>
      <w:r w:rsidR="00790538">
        <w:rPr>
          <w:rFonts w:ascii="Arial" w:eastAsia="AGaramondPro-Regular" w:hAnsi="Arial" w:cs="Arial"/>
          <w:sz w:val="20"/>
          <w:szCs w:val="20"/>
        </w:rPr>
        <w:t xml:space="preserve">constante </w:t>
      </w:r>
      <w:r w:rsidR="003C1065" w:rsidRPr="00EF7E2C">
        <w:rPr>
          <w:rFonts w:ascii="Arial" w:eastAsia="AGaramondPro-Regular" w:hAnsi="Arial" w:cs="Arial"/>
          <w:sz w:val="20"/>
          <w:szCs w:val="20"/>
        </w:rPr>
        <w:t>durante 12 horas</w:t>
      </w:r>
      <w:r w:rsidR="003C1065">
        <w:rPr>
          <w:rFonts w:ascii="Arial" w:eastAsia="AGaramondPro-Regular" w:hAnsi="Arial" w:cs="Arial"/>
          <w:sz w:val="20"/>
          <w:szCs w:val="20"/>
        </w:rPr>
        <w:t xml:space="preserve"> a 32 °C</w:t>
      </w:r>
      <w:r w:rsidR="003C1065" w:rsidRPr="00EF7E2C">
        <w:rPr>
          <w:rFonts w:ascii="Arial" w:eastAsia="AGaramondPro-Regular" w:hAnsi="Arial" w:cs="Arial"/>
          <w:sz w:val="20"/>
          <w:szCs w:val="20"/>
        </w:rPr>
        <w:t>. Al medio mineral se le  agreg</w:t>
      </w:r>
      <w:r w:rsidR="00790538">
        <w:rPr>
          <w:rFonts w:ascii="Arial" w:eastAsia="AGaramondPro-Regular" w:hAnsi="Arial" w:cs="Arial"/>
          <w:sz w:val="20"/>
          <w:szCs w:val="20"/>
        </w:rPr>
        <w:t>ó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10 ml de la suspensión celular y diferentes concentraciones de colorante (2.5, 5 y 7.5 </w:t>
      </w:r>
      <w:r w:rsidR="00A94AE6">
        <w:rPr>
          <w:rFonts w:ascii="Arial" w:eastAsia="AGaramondPro-Regular" w:hAnsi="Arial" w:cs="Arial"/>
          <w:sz w:val="20"/>
          <w:szCs w:val="20"/>
        </w:rPr>
        <w:t>ppm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), enseguida se metió a la incubar a </w:t>
      </w:r>
      <w:r w:rsidR="003C1065">
        <w:rPr>
          <w:rFonts w:ascii="Arial" w:eastAsia="AGaramondPro-Regular" w:hAnsi="Arial" w:cs="Arial"/>
          <w:sz w:val="20"/>
          <w:szCs w:val="20"/>
        </w:rPr>
        <w:t>diferentes temperaturas (30, 35 y 40</w:t>
      </w:r>
      <w:r w:rsidR="003C1065" w:rsidRPr="00EF7E2C">
        <w:rPr>
          <w:rFonts w:ascii="Arial" w:eastAsia="AGaramondPro-Regular" w:hAnsi="Arial" w:cs="Arial"/>
          <w:sz w:val="20"/>
          <w:szCs w:val="20"/>
        </w:rPr>
        <w:t>°C</w:t>
      </w:r>
      <w:r w:rsidR="003C1065">
        <w:rPr>
          <w:rFonts w:ascii="Arial" w:eastAsia="AGaramondPro-Regular" w:hAnsi="Arial" w:cs="Arial"/>
          <w:sz w:val="20"/>
          <w:szCs w:val="20"/>
        </w:rPr>
        <w:t>)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en agitación</w:t>
      </w:r>
      <w:r w:rsidR="00D007E8">
        <w:rPr>
          <w:rFonts w:ascii="Arial" w:eastAsia="AGaramondPro-Regular" w:hAnsi="Arial" w:cs="Arial"/>
          <w:sz w:val="20"/>
          <w:szCs w:val="20"/>
        </w:rPr>
        <w:t xml:space="preserve"> </w:t>
      </w:r>
      <w:r w:rsidR="00790538" w:rsidRPr="00EF7E2C">
        <w:rPr>
          <w:rFonts w:ascii="Arial" w:eastAsia="AGaramondPro-Regular" w:hAnsi="Arial" w:cs="Arial"/>
          <w:sz w:val="20"/>
          <w:szCs w:val="20"/>
        </w:rPr>
        <w:t>constante</w:t>
      </w:r>
      <w:r w:rsidR="003C1065" w:rsidRPr="00EF7E2C">
        <w:rPr>
          <w:rFonts w:ascii="Arial" w:eastAsia="AGaramondPro-Regular" w:hAnsi="Arial" w:cs="Arial"/>
          <w:sz w:val="20"/>
          <w:szCs w:val="20"/>
        </w:rPr>
        <w:t>, para tomar las alícuot</w:t>
      </w:r>
      <w:r w:rsidR="003C1065">
        <w:rPr>
          <w:rFonts w:ascii="Arial" w:eastAsia="AGaramondPro-Regular" w:hAnsi="Arial" w:cs="Arial"/>
          <w:sz w:val="20"/>
          <w:szCs w:val="20"/>
        </w:rPr>
        <w:t xml:space="preserve">as de 1 ml por muestra cada 3 horas, </w:t>
      </w:r>
      <w:r w:rsidR="003C1065" w:rsidRPr="00EF7E2C">
        <w:rPr>
          <w:rFonts w:ascii="Arial" w:eastAsia="AGaramondPro-Regular" w:hAnsi="Arial" w:cs="Arial"/>
          <w:sz w:val="20"/>
          <w:szCs w:val="20"/>
        </w:rPr>
        <w:t>una vez terminado el monitoreo, las muestras se centrifuga</w:t>
      </w:r>
      <w:r w:rsidR="00790538">
        <w:rPr>
          <w:rFonts w:ascii="Arial" w:eastAsia="AGaramondPro-Regular" w:hAnsi="Arial" w:cs="Arial"/>
          <w:sz w:val="20"/>
          <w:szCs w:val="20"/>
        </w:rPr>
        <w:t>ron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a 10,000 rpm durante 5 minutos, del sobrenadante obtenido se le agreg</w:t>
      </w:r>
      <w:r w:rsidR="00790538">
        <w:rPr>
          <w:rFonts w:ascii="Arial" w:eastAsia="AGaramondPro-Regular" w:hAnsi="Arial" w:cs="Arial"/>
          <w:sz w:val="20"/>
          <w:szCs w:val="20"/>
        </w:rPr>
        <w:t>ó</w:t>
      </w:r>
      <w:r w:rsidR="003C1065" w:rsidRPr="00EF7E2C">
        <w:rPr>
          <w:rFonts w:ascii="Arial" w:eastAsia="AGaramondPro-Regular" w:hAnsi="Arial" w:cs="Arial"/>
          <w:sz w:val="20"/>
          <w:szCs w:val="20"/>
        </w:rPr>
        <w:t xml:space="preserve"> 1 ml de agua destilada para realizar la lectura en el espectrofotómetro a 420 nm de </w:t>
      </w:r>
      <w:r w:rsidR="00912331" w:rsidRPr="00EF7E2C">
        <w:rPr>
          <w:rFonts w:ascii="Arial" w:eastAsia="AGaramondPro-Regular" w:hAnsi="Arial" w:cs="Arial"/>
          <w:sz w:val="20"/>
          <w:szCs w:val="20"/>
        </w:rPr>
        <w:t>absorbencia</w:t>
      </w:r>
      <w:r w:rsidR="003C1065">
        <w:rPr>
          <w:rFonts w:ascii="Arial" w:eastAsia="AGaramondPro-Regular" w:hAnsi="Arial" w:cs="Arial"/>
          <w:sz w:val="20"/>
          <w:szCs w:val="20"/>
        </w:rPr>
        <w:t xml:space="preserve">. </w:t>
      </w:r>
      <w:r w:rsidR="00BD6B69" w:rsidRPr="00BD6B69">
        <w:rPr>
          <w:rFonts w:ascii="Arial" w:eastAsia="AGaramondPro-Regular" w:hAnsi="Arial" w:cs="Arial"/>
          <w:sz w:val="20"/>
          <w:szCs w:val="20"/>
        </w:rPr>
        <w:t>La fórmula</w:t>
      </w:r>
      <w:r w:rsidR="005B3A41">
        <w:rPr>
          <w:rFonts w:ascii="Arial" w:eastAsia="AGaramondPro-Regular" w:hAnsi="Arial" w:cs="Arial"/>
          <w:sz w:val="20"/>
          <w:szCs w:val="20"/>
        </w:rPr>
        <w:t xml:space="preserve"> 1 se emplea</w:t>
      </w:r>
      <w:r w:rsidR="00D007E8">
        <w:rPr>
          <w:rFonts w:ascii="Arial" w:eastAsia="AGaramondPro-Regular" w:hAnsi="Arial" w:cs="Arial"/>
          <w:sz w:val="20"/>
          <w:szCs w:val="20"/>
        </w:rPr>
        <w:t xml:space="preserve"> </w:t>
      </w:r>
      <w:r w:rsidR="00790538">
        <w:rPr>
          <w:rFonts w:ascii="Arial" w:hAnsi="Arial" w:cs="Arial"/>
          <w:color w:val="000000"/>
          <w:sz w:val="20"/>
          <w:szCs w:val="20"/>
        </w:rPr>
        <w:t xml:space="preserve">para </w:t>
      </w:r>
      <w:r>
        <w:rPr>
          <w:rFonts w:ascii="Arial" w:eastAsia="AGaramondPro-Regular" w:hAnsi="Arial" w:cs="Arial"/>
          <w:noProof/>
          <w:sz w:val="20"/>
          <w:szCs w:val="20"/>
        </w:rPr>
        <w:pict>
          <v:shape id="Text Box 8" o:spid="_x0000_s1027" type="#_x0000_t202" style="position:absolute;left:0;text-align:left;margin-left:186pt;margin-top:14pt;width:46.5pt;height:37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" strokecolor="white [3212]">
            <v:textbox>
              <w:txbxContent>
                <w:p w:rsidR="00F10E37" w:rsidRPr="00F10E37" w:rsidRDefault="00F10E3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37">
                    <w:rPr>
                      <w:rFonts w:ascii="Arial" w:hAnsi="Arial" w:cs="Arial"/>
                      <w:sz w:val="20"/>
                      <w:szCs w:val="20"/>
                    </w:rPr>
                    <w:t>X 100</w:t>
                  </w:r>
                </w:p>
              </w:txbxContent>
            </v:textbox>
          </v:shape>
        </w:pict>
      </w:r>
      <w:r w:rsidR="00790538">
        <w:rPr>
          <w:rFonts w:ascii="Arial" w:hAnsi="Arial" w:cs="Arial"/>
          <w:color w:val="000000"/>
          <w:sz w:val="20"/>
          <w:szCs w:val="20"/>
        </w:rPr>
        <w:t xml:space="preserve">determinar el </w:t>
      </w:r>
      <w:r w:rsidR="00F10E37">
        <w:rPr>
          <w:rFonts w:ascii="Arial" w:hAnsi="Arial" w:cs="Arial"/>
          <w:color w:val="000000"/>
          <w:sz w:val="20"/>
          <w:szCs w:val="20"/>
        </w:rPr>
        <w:t>porcentaje de</w:t>
      </w:r>
      <w:r w:rsidR="00BD6B69" w:rsidRPr="00BD6B69">
        <w:rPr>
          <w:rFonts w:ascii="Arial" w:hAnsi="Arial" w:cs="Arial"/>
          <w:color w:val="000000"/>
          <w:sz w:val="20"/>
          <w:szCs w:val="20"/>
        </w:rPr>
        <w:t xml:space="preserve"> decoloración</w:t>
      </w:r>
      <w:r w:rsidR="005B3A41">
        <w:rPr>
          <w:rFonts w:ascii="Arial" w:hAnsi="Arial" w:cs="Arial"/>
          <w:color w:val="000000"/>
          <w:sz w:val="20"/>
          <w:szCs w:val="20"/>
        </w:rPr>
        <w:t>.</w:t>
      </w:r>
      <w:bookmarkStart w:id="0" w:name="_GoBack"/>
      <w:bookmarkEnd w:id="0"/>
    </w:p>
    <w:p w:rsidR="005B3A41" w:rsidRPr="00F10E37" w:rsidRDefault="00451F1A" w:rsidP="00F10E3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GaramondPro-Regular" w:hAnsi="Arial" w:cs="Arial"/>
          <w:noProof/>
          <w:color w:val="000000"/>
          <w:sz w:val="20"/>
          <w:szCs w:val="20"/>
        </w:rPr>
      </w:pPr>
      <w:r w:rsidRPr="00451F1A">
        <w:rPr>
          <w:rFonts w:ascii="Arial" w:eastAsia="AGaramondPro-Regular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31" type="#_x0000_t32" style="position:absolute;left:0;text-align:left;margin-left:4.5pt;margin-top:15.5pt;width:192.7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"/>
        </w:pict>
      </w:r>
    </w:p>
    <w:p w:rsidR="005B3A41" w:rsidRDefault="00D007E8" w:rsidP="0095724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51F1A">
        <w:rPr>
          <w:rFonts w:ascii="Arial" w:hAnsi="Arial" w:cs="Arial"/>
          <w:noProof/>
          <w:sz w:val="20"/>
          <w:szCs w:val="20"/>
        </w:rPr>
        <w:pict>
          <v:shape id="AutoShape 7" o:spid="_x0000_s1030" type="#_x0000_t32" style="position:absolute;left:0;text-align:left;margin-left:16.5pt;margin-top:4.25pt;width:163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qm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"/>
        </w:pict>
      </w:r>
    </w:p>
    <w:p w:rsidR="003E625A" w:rsidRPr="00346FE8" w:rsidRDefault="003C1065" w:rsidP="0095724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F7E2C">
        <w:rPr>
          <w:rFonts w:ascii="Arial" w:hAnsi="Arial" w:cs="Arial"/>
          <w:sz w:val="20"/>
          <w:szCs w:val="20"/>
        </w:rPr>
        <w:lastRenderedPageBreak/>
        <w:t xml:space="preserve">Para la determinación de proteínas se </w:t>
      </w:r>
      <w:r w:rsidR="00790538" w:rsidRPr="00EF7E2C">
        <w:rPr>
          <w:rFonts w:ascii="Arial" w:hAnsi="Arial" w:cs="Arial"/>
          <w:sz w:val="20"/>
          <w:szCs w:val="20"/>
        </w:rPr>
        <w:t>utilizó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="00346FE8">
        <w:rPr>
          <w:rFonts w:ascii="Arial" w:hAnsi="Arial" w:cs="Arial"/>
          <w:sz w:val="20"/>
          <w:szCs w:val="20"/>
        </w:rPr>
        <w:t>e</w:t>
      </w:r>
      <w:r w:rsidRPr="00EF7E2C">
        <w:rPr>
          <w:rFonts w:ascii="Arial" w:hAnsi="Arial" w:cs="Arial"/>
          <w:sz w:val="20"/>
          <w:szCs w:val="20"/>
        </w:rPr>
        <w:t xml:space="preserve">l </w:t>
      </w:r>
      <w:r w:rsidRPr="00EF7E2C">
        <w:rPr>
          <w:rFonts w:ascii="Arial" w:hAnsi="Arial" w:cs="Arial"/>
          <w:color w:val="000000"/>
          <w:sz w:val="20"/>
          <w:szCs w:val="20"/>
        </w:rPr>
        <w:t xml:space="preserve"> paquete celular que fue  obtenido de cada muestra, el cual fue lavado un par de veces</w:t>
      </w:r>
      <w:r>
        <w:rPr>
          <w:rFonts w:ascii="Arial" w:hAnsi="Arial" w:cs="Arial"/>
          <w:color w:val="000000"/>
          <w:sz w:val="20"/>
          <w:szCs w:val="20"/>
        </w:rPr>
        <w:t xml:space="preserve">, para ello fue </w:t>
      </w:r>
      <w:r w:rsidRPr="00EF7E2C">
        <w:rPr>
          <w:rFonts w:ascii="Arial" w:hAnsi="Arial" w:cs="Arial"/>
          <w:color w:val="000000"/>
          <w:sz w:val="20"/>
          <w:szCs w:val="20"/>
        </w:rPr>
        <w:t xml:space="preserve">utilizado el método de </w:t>
      </w:r>
      <w:r w:rsidR="00790538">
        <w:rPr>
          <w:rFonts w:ascii="Arial" w:hAnsi="Arial" w:cs="Arial"/>
          <w:color w:val="000000"/>
          <w:sz w:val="20"/>
          <w:szCs w:val="20"/>
        </w:rPr>
        <w:t>Peterson modificado y</w:t>
      </w:r>
      <w:r w:rsidRPr="00EF7E2C">
        <w:rPr>
          <w:rFonts w:ascii="Arial" w:hAnsi="Arial" w:cs="Arial"/>
          <w:color w:val="000000"/>
          <w:sz w:val="20"/>
          <w:szCs w:val="20"/>
        </w:rPr>
        <w:t xml:space="preserve"> las muestras se leyeron </w:t>
      </w:r>
      <w:r w:rsidRPr="00EF7E2C">
        <w:rPr>
          <w:rFonts w:ascii="Arial" w:hAnsi="Arial" w:cs="Arial"/>
          <w:sz w:val="20"/>
          <w:szCs w:val="20"/>
        </w:rPr>
        <w:t>a una longitud de onda de 750 nm.</w:t>
      </w:r>
    </w:p>
    <w:p w:rsidR="00C045BD" w:rsidRPr="0095724C" w:rsidRDefault="008A40D1" w:rsidP="009572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6B69">
        <w:rPr>
          <w:rFonts w:ascii="Arial" w:hAnsi="Arial" w:cs="Arial"/>
          <w:b/>
          <w:sz w:val="20"/>
          <w:szCs w:val="20"/>
        </w:rPr>
        <w:t>RESULTADOS</w:t>
      </w:r>
    </w:p>
    <w:p w:rsidR="0095724C" w:rsidRDefault="00161D9A" w:rsidP="00161D9A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161D9A">
        <w:rPr>
          <w:rFonts w:ascii="Arial" w:hAnsi="Arial" w:cs="Arial"/>
          <w:sz w:val="20"/>
          <w:szCs w:val="20"/>
        </w:rPr>
        <w:t>Los resultados de la evaluación de remoción de colorantes mediante diferentes temperaturas se muestran a  continuación (</w:t>
      </w:r>
      <w:r>
        <w:rPr>
          <w:rFonts w:ascii="Arial" w:hAnsi="Arial" w:cs="Arial"/>
          <w:sz w:val="20"/>
          <w:szCs w:val="20"/>
        </w:rPr>
        <w:t>Cuadro I</w:t>
      </w:r>
      <w:r w:rsidRPr="00161D9A">
        <w:rPr>
          <w:rFonts w:ascii="Arial" w:hAnsi="Arial" w:cs="Arial"/>
          <w:sz w:val="20"/>
          <w:szCs w:val="20"/>
        </w:rPr>
        <w:t xml:space="preserve">), en ellos se demuestra que </w:t>
      </w:r>
      <w:r w:rsidR="00A94AE6">
        <w:rPr>
          <w:rFonts w:ascii="Arial" w:hAnsi="Arial" w:cs="Arial"/>
          <w:sz w:val="20"/>
          <w:szCs w:val="20"/>
        </w:rPr>
        <w:t>a la temperatura de</w:t>
      </w:r>
      <w:r w:rsidRPr="00161D9A">
        <w:rPr>
          <w:rFonts w:ascii="Arial" w:hAnsi="Arial" w:cs="Arial"/>
          <w:sz w:val="20"/>
          <w:szCs w:val="20"/>
        </w:rPr>
        <w:t xml:space="preserve"> 35 °C se obtiene mayor porcentaje de decoloración,</w:t>
      </w:r>
    </w:p>
    <w:p w:rsidR="003079D6" w:rsidRDefault="003079D6" w:rsidP="003079D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7154E">
        <w:rPr>
          <w:rFonts w:ascii="Arial" w:hAnsi="Arial" w:cs="Arial"/>
          <w:b/>
          <w:sz w:val="20"/>
          <w:szCs w:val="20"/>
        </w:rPr>
        <w:t xml:space="preserve">Cuadro I. </w:t>
      </w:r>
      <w:r w:rsidRPr="0067154E">
        <w:rPr>
          <w:rFonts w:ascii="Arial" w:hAnsi="Arial" w:cs="Arial"/>
          <w:sz w:val="20"/>
          <w:szCs w:val="20"/>
        </w:rPr>
        <w:t xml:space="preserve">Resultados de la remoción del colorante azul </w:t>
      </w:r>
      <w:r w:rsidR="00912331" w:rsidRPr="0067154E">
        <w:rPr>
          <w:rFonts w:ascii="Arial" w:hAnsi="Arial" w:cs="Arial"/>
          <w:sz w:val="20"/>
          <w:szCs w:val="20"/>
        </w:rPr>
        <w:t>índigo</w:t>
      </w:r>
      <w:r w:rsidRPr="0067154E">
        <w:rPr>
          <w:rFonts w:ascii="Arial" w:hAnsi="Arial" w:cs="Arial"/>
          <w:sz w:val="20"/>
          <w:szCs w:val="20"/>
        </w:rPr>
        <w:t xml:space="preserve"> bajo diferentes temperaturas (30, 35 y 40 °C).</w:t>
      </w:r>
    </w:p>
    <w:tbl>
      <w:tblPr>
        <w:tblStyle w:val="Tablaconcuadrcula"/>
        <w:tblW w:w="3969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1134"/>
        <w:gridCol w:w="993"/>
        <w:gridCol w:w="1275"/>
      </w:tblGrid>
      <w:tr w:rsidR="003079D6" w:rsidRPr="0067154E" w:rsidTr="00F10E37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  <w:r w:rsidR="00A94AE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94AE6" w:rsidRDefault="00A94AE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</w:t>
            </w:r>
          </w:p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 xml:space="preserve"> inicial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94AE6" w:rsidRDefault="00A94AE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</w:t>
            </w:r>
          </w:p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final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 de</w:t>
            </w:r>
            <w:r w:rsidRPr="0067154E">
              <w:rPr>
                <w:rFonts w:ascii="Arial" w:hAnsi="Arial" w:cs="Arial"/>
                <w:sz w:val="20"/>
                <w:szCs w:val="20"/>
              </w:rPr>
              <w:t xml:space="preserve"> remoción</w:t>
            </w:r>
          </w:p>
        </w:tc>
      </w:tr>
      <w:tr w:rsidR="003079D6" w:rsidRPr="0067154E" w:rsidTr="00F10E37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30°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0.4193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0.2627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37.34</w:t>
            </w:r>
          </w:p>
        </w:tc>
      </w:tr>
      <w:tr w:rsidR="003079D6" w:rsidRPr="0067154E" w:rsidTr="00F10E37">
        <w:trPr>
          <w:jc w:val="center"/>
        </w:trPr>
        <w:tc>
          <w:tcPr>
            <w:tcW w:w="567" w:type="dxa"/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35°</w:t>
            </w:r>
          </w:p>
        </w:tc>
        <w:tc>
          <w:tcPr>
            <w:tcW w:w="1134" w:type="dxa"/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0.6173</w:t>
            </w:r>
          </w:p>
        </w:tc>
        <w:tc>
          <w:tcPr>
            <w:tcW w:w="993" w:type="dxa"/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0.3463</w:t>
            </w:r>
          </w:p>
        </w:tc>
        <w:tc>
          <w:tcPr>
            <w:tcW w:w="1275" w:type="dxa"/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43.90</w:t>
            </w:r>
          </w:p>
        </w:tc>
      </w:tr>
      <w:tr w:rsidR="003079D6" w:rsidRPr="0067154E" w:rsidTr="00F10E37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40°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0.5177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0.3880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079D6" w:rsidRPr="0067154E" w:rsidRDefault="003079D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154E">
              <w:rPr>
                <w:rFonts w:ascii="Arial" w:hAnsi="Arial" w:cs="Arial"/>
                <w:sz w:val="20"/>
                <w:szCs w:val="20"/>
              </w:rPr>
              <w:t>25.05</w:t>
            </w:r>
          </w:p>
        </w:tc>
      </w:tr>
    </w:tbl>
    <w:p w:rsidR="00DC52CA" w:rsidRPr="00DC52CA" w:rsidRDefault="00DC52CA" w:rsidP="00DC52CA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DC52CA">
        <w:rPr>
          <w:rFonts w:ascii="Arial" w:hAnsi="Arial" w:cs="Arial"/>
          <w:sz w:val="20"/>
          <w:szCs w:val="20"/>
        </w:rPr>
        <w:t>Los resultados del incremento de proteína a cada nivel de temperatura pr</w:t>
      </w:r>
      <w:r>
        <w:rPr>
          <w:rFonts w:ascii="Arial" w:hAnsi="Arial" w:cs="Arial"/>
          <w:sz w:val="20"/>
          <w:szCs w:val="20"/>
        </w:rPr>
        <w:t>obado se muestran en la Figura 1</w:t>
      </w:r>
      <w:r w:rsidRPr="00DC52CA">
        <w:rPr>
          <w:rFonts w:ascii="Arial" w:hAnsi="Arial" w:cs="Arial"/>
          <w:sz w:val="20"/>
          <w:szCs w:val="20"/>
        </w:rPr>
        <w:t>. Donde a 35 °C el microorganismo aumenta su capacidad para tomar el colorante como fuente de carbono e incrementar así su cantidad de proteína y lograr porcentajes de decoloración aceptable</w:t>
      </w:r>
      <w:r w:rsidR="00A94AE6">
        <w:rPr>
          <w:rFonts w:ascii="Arial" w:hAnsi="Arial" w:cs="Arial"/>
          <w:sz w:val="20"/>
          <w:szCs w:val="20"/>
        </w:rPr>
        <w:t>s</w:t>
      </w:r>
      <w:r w:rsidRPr="00DC52CA">
        <w:rPr>
          <w:rFonts w:ascii="Arial" w:hAnsi="Arial" w:cs="Arial"/>
          <w:sz w:val="20"/>
          <w:szCs w:val="20"/>
        </w:rPr>
        <w:t>.</w:t>
      </w:r>
    </w:p>
    <w:p w:rsidR="003E625A" w:rsidRDefault="00DC52CA" w:rsidP="00F10E37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C52CA">
        <w:rPr>
          <w:noProof/>
        </w:rPr>
        <w:lastRenderedPageBreak/>
        <w:drawing>
          <wp:inline distT="0" distB="0" distL="0" distR="0">
            <wp:extent cx="2577465" cy="1704975"/>
            <wp:effectExtent l="19050" t="0" r="13335" b="0"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1" w:name="_Toc390380785"/>
    </w:p>
    <w:p w:rsidR="003E625A" w:rsidRPr="003E625A" w:rsidRDefault="003E625A" w:rsidP="00346FE8">
      <w:pPr>
        <w:jc w:val="both"/>
      </w:pPr>
      <w:r w:rsidRPr="003E625A">
        <w:rPr>
          <w:rFonts w:ascii="Arial" w:hAnsi="Arial" w:cs="Arial"/>
          <w:b/>
          <w:color w:val="000000" w:themeColor="text1"/>
          <w:sz w:val="20"/>
          <w:szCs w:val="20"/>
        </w:rPr>
        <w:t xml:space="preserve">Figura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Pr="003E625A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Pr="003E625A">
        <w:rPr>
          <w:rFonts w:ascii="Arial" w:hAnsi="Arial" w:cs="Arial"/>
          <w:color w:val="000000" w:themeColor="text1"/>
          <w:sz w:val="20"/>
          <w:szCs w:val="20"/>
        </w:rPr>
        <w:t xml:space="preserve"> Incremento de la proteína celular durante el proceso de biodegradación a diferentes temperaturas.</w:t>
      </w:r>
      <w:bookmarkEnd w:id="1"/>
    </w:p>
    <w:p w:rsidR="00DC52CA" w:rsidRDefault="00DC52CA" w:rsidP="00DC52CA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8A2887">
        <w:rPr>
          <w:rFonts w:ascii="Arial" w:hAnsi="Arial" w:cs="Arial"/>
          <w:sz w:val="20"/>
          <w:szCs w:val="20"/>
        </w:rPr>
        <w:t xml:space="preserve">En relación </w:t>
      </w:r>
      <w:r>
        <w:rPr>
          <w:rFonts w:ascii="Arial" w:hAnsi="Arial" w:cs="Arial"/>
          <w:sz w:val="20"/>
          <w:szCs w:val="20"/>
        </w:rPr>
        <w:t>a la</w:t>
      </w:r>
      <w:r w:rsidRPr="008A2887">
        <w:rPr>
          <w:rFonts w:ascii="Arial" w:hAnsi="Arial" w:cs="Arial"/>
          <w:sz w:val="20"/>
          <w:szCs w:val="20"/>
        </w:rPr>
        <w:t>s diferentes concentraciones de colorant</w:t>
      </w:r>
      <w:r>
        <w:rPr>
          <w:rFonts w:ascii="Arial" w:hAnsi="Arial" w:cs="Arial"/>
          <w:sz w:val="20"/>
          <w:szCs w:val="20"/>
        </w:rPr>
        <w:t xml:space="preserve">es, se </w:t>
      </w:r>
      <w:r w:rsidR="00A94AE6">
        <w:rPr>
          <w:rFonts w:ascii="Arial" w:hAnsi="Arial" w:cs="Arial"/>
          <w:sz w:val="20"/>
          <w:szCs w:val="20"/>
        </w:rPr>
        <w:t>observó</w:t>
      </w:r>
      <w:r>
        <w:rPr>
          <w:rFonts w:ascii="Arial" w:hAnsi="Arial" w:cs="Arial"/>
          <w:sz w:val="20"/>
          <w:szCs w:val="20"/>
        </w:rPr>
        <w:t xml:space="preserve"> que con 5 gr de azul </w:t>
      </w:r>
      <w:r w:rsidR="00A94AE6">
        <w:rPr>
          <w:rFonts w:ascii="Arial" w:hAnsi="Arial" w:cs="Arial"/>
          <w:sz w:val="20"/>
          <w:szCs w:val="20"/>
        </w:rPr>
        <w:t>índigo</w:t>
      </w:r>
      <w:r>
        <w:rPr>
          <w:rFonts w:ascii="Arial" w:hAnsi="Arial" w:cs="Arial"/>
          <w:sz w:val="20"/>
          <w:szCs w:val="20"/>
        </w:rPr>
        <w:t xml:space="preserve"> el porcentaje de degradación era mayor (Cuadro II).</w:t>
      </w:r>
    </w:p>
    <w:p w:rsidR="00DC52CA" w:rsidRPr="002C7924" w:rsidRDefault="00DC52CA" w:rsidP="00DC52CA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Cuadro </w:t>
      </w:r>
      <w:r w:rsidRPr="002C7924">
        <w:rPr>
          <w:rFonts w:ascii="Arial" w:hAnsi="Arial" w:cs="Arial"/>
          <w:b/>
          <w:sz w:val="20"/>
          <w:szCs w:val="20"/>
        </w:rPr>
        <w:t xml:space="preserve">II. </w:t>
      </w:r>
      <w:r w:rsidRPr="002C7924">
        <w:rPr>
          <w:rFonts w:ascii="Arial" w:hAnsi="Arial" w:cs="Arial"/>
          <w:sz w:val="20"/>
          <w:szCs w:val="20"/>
        </w:rPr>
        <w:t xml:space="preserve">Resultados de la remoción azul </w:t>
      </w:r>
      <w:r w:rsidR="00912331" w:rsidRPr="002C7924">
        <w:rPr>
          <w:rFonts w:ascii="Arial" w:hAnsi="Arial" w:cs="Arial"/>
          <w:sz w:val="20"/>
          <w:szCs w:val="20"/>
        </w:rPr>
        <w:t>índigo</w:t>
      </w:r>
      <w:r w:rsidRPr="002C7924">
        <w:rPr>
          <w:rFonts w:ascii="Arial" w:hAnsi="Arial" w:cs="Arial"/>
          <w:sz w:val="20"/>
          <w:szCs w:val="20"/>
        </w:rPr>
        <w:t xml:space="preserve"> bajo diferentes  </w:t>
      </w:r>
      <w:r w:rsidRPr="002C7924">
        <w:rPr>
          <w:rFonts w:ascii="Arial" w:eastAsia="AGaramondPro-Regular" w:hAnsi="Arial" w:cs="Arial"/>
          <w:sz w:val="20"/>
          <w:szCs w:val="20"/>
        </w:rPr>
        <w:t xml:space="preserve">concentraciones de colorantes (2.5, 5 y 7.5 </w:t>
      </w:r>
      <w:r w:rsidR="00A94AE6">
        <w:rPr>
          <w:rFonts w:ascii="Arial" w:eastAsia="AGaramondPro-Regular" w:hAnsi="Arial" w:cs="Arial"/>
          <w:sz w:val="20"/>
          <w:szCs w:val="20"/>
        </w:rPr>
        <w:t>ppm</w:t>
      </w:r>
      <w:r w:rsidRPr="002C7924">
        <w:rPr>
          <w:rFonts w:ascii="Arial" w:eastAsia="AGaramondPro-Regular" w:hAnsi="Arial" w:cs="Arial"/>
          <w:sz w:val="20"/>
          <w:szCs w:val="20"/>
        </w:rPr>
        <w:t>).</w:t>
      </w:r>
    </w:p>
    <w:tbl>
      <w:tblPr>
        <w:tblStyle w:val="Tablaconcuadrcula"/>
        <w:tblW w:w="0" w:type="auto"/>
        <w:jc w:val="center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9"/>
        <w:gridCol w:w="1088"/>
        <w:gridCol w:w="850"/>
        <w:gridCol w:w="1134"/>
      </w:tblGrid>
      <w:tr w:rsidR="00DC52CA" w:rsidRPr="0078113B" w:rsidTr="00F10E37">
        <w:trPr>
          <w:jc w:val="center"/>
        </w:trPr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Conc del colorante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DC52CA" w:rsidRPr="0078113B" w:rsidRDefault="00A94AE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</w:t>
            </w:r>
            <w:r w:rsidR="00DC52CA" w:rsidRPr="0078113B">
              <w:rPr>
                <w:rFonts w:ascii="Arial" w:hAnsi="Arial" w:cs="Arial"/>
                <w:sz w:val="20"/>
                <w:szCs w:val="20"/>
              </w:rPr>
              <w:t xml:space="preserve"> inicial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52CA" w:rsidRPr="0078113B" w:rsidRDefault="00A94AE6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</w:t>
            </w:r>
            <w:r w:rsidR="00DC52CA" w:rsidRPr="0078113B">
              <w:rPr>
                <w:rFonts w:ascii="Arial" w:hAnsi="Arial" w:cs="Arial"/>
                <w:sz w:val="20"/>
                <w:szCs w:val="20"/>
              </w:rPr>
              <w:t xml:space="preserve"> final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% de remoción</w:t>
            </w:r>
          </w:p>
        </w:tc>
      </w:tr>
      <w:tr w:rsidR="00DC52CA" w:rsidRPr="0078113B" w:rsidTr="00F10E37">
        <w:trPr>
          <w:jc w:val="center"/>
        </w:trPr>
        <w:tc>
          <w:tcPr>
            <w:tcW w:w="1039" w:type="dxa"/>
            <w:tcBorders>
              <w:top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2.5</w:t>
            </w:r>
            <w:r w:rsidR="00A94AE6">
              <w:rPr>
                <w:rFonts w:ascii="Arial" w:hAnsi="Arial" w:cs="Arial"/>
                <w:sz w:val="20"/>
                <w:szCs w:val="20"/>
              </w:rPr>
              <w:t xml:space="preserve"> ppm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0.4170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0.3053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26.78</w:t>
            </w:r>
          </w:p>
        </w:tc>
      </w:tr>
      <w:tr w:rsidR="00DC52CA" w:rsidRPr="0078113B" w:rsidTr="00F10E37">
        <w:trPr>
          <w:jc w:val="center"/>
        </w:trPr>
        <w:tc>
          <w:tcPr>
            <w:tcW w:w="1039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5.0</w:t>
            </w:r>
            <w:r w:rsidR="00A94AE6">
              <w:rPr>
                <w:rFonts w:ascii="Arial" w:hAnsi="Arial" w:cs="Arial"/>
                <w:sz w:val="20"/>
                <w:szCs w:val="20"/>
              </w:rPr>
              <w:t xml:space="preserve"> ppm</w:t>
            </w:r>
          </w:p>
        </w:tc>
        <w:tc>
          <w:tcPr>
            <w:tcW w:w="1088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0.6193</w:t>
            </w:r>
          </w:p>
        </w:tc>
        <w:tc>
          <w:tcPr>
            <w:tcW w:w="850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0.3817</w:t>
            </w:r>
          </w:p>
        </w:tc>
        <w:tc>
          <w:tcPr>
            <w:tcW w:w="1134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38.36</w:t>
            </w:r>
          </w:p>
        </w:tc>
      </w:tr>
      <w:tr w:rsidR="00DC52CA" w:rsidRPr="0078113B" w:rsidTr="00F10E37">
        <w:trPr>
          <w:jc w:val="center"/>
        </w:trPr>
        <w:tc>
          <w:tcPr>
            <w:tcW w:w="1039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7.5</w:t>
            </w:r>
            <w:r w:rsidR="00A94AE6">
              <w:rPr>
                <w:rFonts w:ascii="Arial" w:hAnsi="Arial" w:cs="Arial"/>
                <w:sz w:val="20"/>
                <w:szCs w:val="20"/>
              </w:rPr>
              <w:t xml:space="preserve"> ppm</w:t>
            </w:r>
          </w:p>
        </w:tc>
        <w:tc>
          <w:tcPr>
            <w:tcW w:w="1088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0.5163</w:t>
            </w:r>
          </w:p>
        </w:tc>
        <w:tc>
          <w:tcPr>
            <w:tcW w:w="850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0.3903</w:t>
            </w:r>
          </w:p>
        </w:tc>
        <w:tc>
          <w:tcPr>
            <w:tcW w:w="1134" w:type="dxa"/>
          </w:tcPr>
          <w:p w:rsidR="00DC52CA" w:rsidRPr="0078113B" w:rsidRDefault="00DC52CA" w:rsidP="00CB497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13B">
              <w:rPr>
                <w:rFonts w:ascii="Arial" w:hAnsi="Arial" w:cs="Arial"/>
                <w:sz w:val="20"/>
                <w:szCs w:val="20"/>
              </w:rPr>
              <w:t>24.40</w:t>
            </w:r>
          </w:p>
        </w:tc>
      </w:tr>
    </w:tbl>
    <w:p w:rsidR="003E625A" w:rsidRDefault="003E625A" w:rsidP="003E625A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3E625A">
        <w:rPr>
          <w:rFonts w:ascii="Arial" w:hAnsi="Arial" w:cs="Arial"/>
          <w:sz w:val="20"/>
          <w:szCs w:val="20"/>
        </w:rPr>
        <w:t xml:space="preserve">El análisis estadístico mostró diferencia significativa para los tres niveles de </w:t>
      </w:r>
      <w:r>
        <w:rPr>
          <w:rFonts w:ascii="Arial" w:hAnsi="Arial" w:cs="Arial"/>
          <w:sz w:val="20"/>
          <w:szCs w:val="20"/>
        </w:rPr>
        <w:t xml:space="preserve">concentraciones </w:t>
      </w:r>
      <w:r w:rsidRPr="003E625A">
        <w:rPr>
          <w:rFonts w:ascii="Arial" w:hAnsi="Arial" w:cs="Arial"/>
          <w:sz w:val="20"/>
          <w:szCs w:val="20"/>
        </w:rPr>
        <w:t>evaluados. Donde a simple vista se puede observar la diferencia significativa que muestra la siguiente figura</w:t>
      </w:r>
      <w:r w:rsidR="00A94AE6">
        <w:rPr>
          <w:rFonts w:ascii="Arial" w:hAnsi="Arial" w:cs="Arial"/>
          <w:sz w:val="20"/>
          <w:szCs w:val="20"/>
        </w:rPr>
        <w:t>,</w:t>
      </w:r>
      <w:r w:rsidR="00D007E8">
        <w:rPr>
          <w:rFonts w:ascii="Arial" w:hAnsi="Arial" w:cs="Arial"/>
          <w:sz w:val="20"/>
          <w:szCs w:val="20"/>
        </w:rPr>
        <w:t xml:space="preserve"> </w:t>
      </w:r>
      <w:r w:rsidR="00A94AE6">
        <w:rPr>
          <w:rFonts w:ascii="Arial" w:hAnsi="Arial" w:cs="Arial"/>
          <w:sz w:val="20"/>
          <w:szCs w:val="20"/>
        </w:rPr>
        <w:t>haci</w:t>
      </w:r>
      <w:r w:rsidRPr="003E625A">
        <w:rPr>
          <w:rFonts w:ascii="Arial" w:hAnsi="Arial" w:cs="Arial"/>
          <w:sz w:val="20"/>
          <w:szCs w:val="20"/>
        </w:rPr>
        <w:t xml:space="preserve">endo énfasis en </w:t>
      </w:r>
      <w:r>
        <w:rPr>
          <w:rFonts w:ascii="Arial" w:hAnsi="Arial" w:cs="Arial"/>
          <w:sz w:val="20"/>
          <w:szCs w:val="20"/>
        </w:rPr>
        <w:t xml:space="preserve">la concentración de 5 </w:t>
      </w:r>
      <w:r w:rsidR="00A94AE6">
        <w:rPr>
          <w:rFonts w:ascii="Arial" w:hAnsi="Arial" w:cs="Arial"/>
          <w:sz w:val="20"/>
          <w:szCs w:val="20"/>
        </w:rPr>
        <w:t>ppm</w:t>
      </w:r>
      <w:r w:rsidRPr="003E625A">
        <w:rPr>
          <w:rFonts w:ascii="Arial" w:hAnsi="Arial" w:cs="Arial"/>
          <w:sz w:val="20"/>
          <w:szCs w:val="20"/>
        </w:rPr>
        <w:t xml:space="preserve"> donde existe mayor cantidad de proteína.</w:t>
      </w:r>
    </w:p>
    <w:p w:rsidR="003E625A" w:rsidRPr="003E625A" w:rsidRDefault="003E625A" w:rsidP="00F10E37">
      <w:pPr>
        <w:spacing w:before="240" w:line="360" w:lineRule="auto"/>
        <w:jc w:val="center"/>
        <w:rPr>
          <w:rFonts w:ascii="Arial" w:hAnsi="Arial" w:cs="Arial"/>
          <w:sz w:val="20"/>
          <w:szCs w:val="20"/>
        </w:rPr>
      </w:pPr>
      <w:r w:rsidRPr="003E625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1800225"/>
            <wp:effectExtent l="19050" t="0" r="1905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625A" w:rsidRDefault="003E625A" w:rsidP="003E625A">
      <w:pPr>
        <w:pStyle w:val="Epgrafe"/>
        <w:spacing w:line="276" w:lineRule="auto"/>
        <w:rPr>
          <w:b w:val="0"/>
          <w:color w:val="000000" w:themeColor="text1"/>
          <w:sz w:val="20"/>
          <w:szCs w:val="20"/>
        </w:rPr>
      </w:pPr>
      <w:r w:rsidRPr="002C7924">
        <w:rPr>
          <w:color w:val="000000" w:themeColor="text1"/>
          <w:sz w:val="20"/>
          <w:szCs w:val="20"/>
        </w:rPr>
        <w:t>Figura</w:t>
      </w:r>
      <w:r>
        <w:rPr>
          <w:color w:val="000000" w:themeColor="text1"/>
          <w:sz w:val="20"/>
          <w:szCs w:val="20"/>
        </w:rPr>
        <w:t xml:space="preserve"> 2</w:t>
      </w:r>
      <w:r w:rsidRPr="002C7924">
        <w:rPr>
          <w:color w:val="000000" w:themeColor="text1"/>
          <w:sz w:val="20"/>
          <w:szCs w:val="20"/>
        </w:rPr>
        <w:t>.</w:t>
      </w:r>
      <w:r w:rsidRPr="002C7924">
        <w:rPr>
          <w:b w:val="0"/>
          <w:color w:val="000000" w:themeColor="text1"/>
          <w:sz w:val="20"/>
          <w:szCs w:val="20"/>
        </w:rPr>
        <w:t xml:space="preserve"> Incremento de la proteína celular durante el proceso de biodegradación a diferentes concentraciones de colorante.</w:t>
      </w:r>
    </w:p>
    <w:p w:rsidR="00D624E9" w:rsidRDefault="00D624E9" w:rsidP="00D624E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624E9">
        <w:rPr>
          <w:rFonts w:ascii="Arial" w:hAnsi="Arial" w:cs="Arial"/>
          <w:sz w:val="20"/>
          <w:szCs w:val="20"/>
        </w:rPr>
        <w:t>Es evidente observar que a una menor y mayor</w:t>
      </w:r>
      <w:r w:rsidR="00174370">
        <w:rPr>
          <w:rFonts w:ascii="Arial" w:hAnsi="Arial" w:cs="Arial"/>
          <w:sz w:val="20"/>
          <w:szCs w:val="20"/>
        </w:rPr>
        <w:t xml:space="preserve"> concentración de colorante (2.5 y 7.5 </w:t>
      </w:r>
      <w:r w:rsidR="00B95EBA">
        <w:rPr>
          <w:rFonts w:ascii="Arial" w:hAnsi="Arial" w:cs="Arial"/>
          <w:sz w:val="20"/>
          <w:szCs w:val="20"/>
        </w:rPr>
        <w:t>ppm</w:t>
      </w:r>
      <w:r w:rsidR="00174370">
        <w:rPr>
          <w:rFonts w:ascii="Arial" w:hAnsi="Arial" w:cs="Arial"/>
          <w:sz w:val="20"/>
          <w:szCs w:val="20"/>
        </w:rPr>
        <w:t>)</w:t>
      </w:r>
      <w:r w:rsidRPr="00D624E9">
        <w:rPr>
          <w:rFonts w:ascii="Arial" w:hAnsi="Arial" w:cs="Arial"/>
          <w:sz w:val="20"/>
          <w:szCs w:val="20"/>
        </w:rPr>
        <w:t xml:space="preserve"> se obtuvo un menor porcentaje d</w:t>
      </w:r>
      <w:r w:rsidR="00B95EBA">
        <w:rPr>
          <w:rFonts w:ascii="Arial" w:hAnsi="Arial" w:cs="Arial"/>
          <w:sz w:val="20"/>
          <w:szCs w:val="20"/>
        </w:rPr>
        <w:t>e decoloración, sin embargo a 5.0 ppm</w:t>
      </w:r>
      <w:r w:rsidRPr="00D624E9">
        <w:rPr>
          <w:rFonts w:ascii="Arial" w:hAnsi="Arial" w:cs="Arial"/>
          <w:sz w:val="20"/>
          <w:szCs w:val="20"/>
        </w:rPr>
        <w:t xml:space="preserve"> de colorante </w:t>
      </w:r>
      <w:r w:rsidR="00B95EBA">
        <w:rPr>
          <w:rFonts w:ascii="Arial" w:hAnsi="Arial" w:cs="Arial"/>
          <w:sz w:val="20"/>
          <w:szCs w:val="20"/>
        </w:rPr>
        <w:t xml:space="preserve">se </w:t>
      </w:r>
      <w:r w:rsidRPr="00D624E9">
        <w:rPr>
          <w:rFonts w:ascii="Arial" w:hAnsi="Arial" w:cs="Arial"/>
          <w:sz w:val="20"/>
          <w:szCs w:val="20"/>
        </w:rPr>
        <w:t>present</w:t>
      </w:r>
      <w:r w:rsidR="00B95EBA">
        <w:rPr>
          <w:rFonts w:ascii="Arial" w:hAnsi="Arial" w:cs="Arial"/>
          <w:sz w:val="20"/>
          <w:szCs w:val="20"/>
        </w:rPr>
        <w:t>ó</w:t>
      </w:r>
      <w:r w:rsidRPr="00D624E9">
        <w:rPr>
          <w:rFonts w:ascii="Arial" w:hAnsi="Arial" w:cs="Arial"/>
          <w:sz w:val="20"/>
          <w:szCs w:val="20"/>
        </w:rPr>
        <w:t xml:space="preserve"> un incremento de proteínas y por ende un mayor porcentaje de degradación.</w:t>
      </w:r>
    </w:p>
    <w:p w:rsidR="00174370" w:rsidRPr="00174370" w:rsidRDefault="00174370" w:rsidP="00174370">
      <w:pPr>
        <w:spacing w:line="360" w:lineRule="auto"/>
        <w:jc w:val="both"/>
        <w:rPr>
          <w:sz w:val="20"/>
          <w:szCs w:val="20"/>
        </w:rPr>
      </w:pPr>
      <w:r w:rsidRPr="004A2573">
        <w:rPr>
          <w:rFonts w:ascii="Arial" w:hAnsi="Arial" w:cs="Arial"/>
          <w:sz w:val="20"/>
          <w:szCs w:val="20"/>
        </w:rPr>
        <w:t xml:space="preserve">Estos </w:t>
      </w:r>
      <w:r>
        <w:rPr>
          <w:rFonts w:ascii="Arial" w:hAnsi="Arial" w:cs="Arial"/>
          <w:sz w:val="20"/>
          <w:szCs w:val="20"/>
        </w:rPr>
        <w:t xml:space="preserve">factores </w:t>
      </w:r>
      <w:r w:rsidRPr="004A2573">
        <w:rPr>
          <w:rFonts w:ascii="Arial" w:hAnsi="Arial" w:cs="Arial"/>
          <w:sz w:val="20"/>
          <w:szCs w:val="20"/>
        </w:rPr>
        <w:t>han sido más frecuentemente utilizados, ya que</w:t>
      </w:r>
      <w:r w:rsidRPr="004A2573">
        <w:rPr>
          <w:rFonts w:ascii="Arial" w:hAnsi="Arial" w:cs="Arial"/>
          <w:color w:val="000000"/>
          <w:sz w:val="20"/>
          <w:szCs w:val="20"/>
        </w:rPr>
        <w:t xml:space="preserve"> ayuda a disminuir la contaminación  ambiental e incluso a la reutilización del agua. </w:t>
      </w:r>
      <w:r w:rsidR="00451F1A">
        <w:rPr>
          <w:noProof/>
          <w:sz w:val="20"/>
          <w:szCs w:val="20"/>
        </w:rPr>
        <w:pict>
          <v:shape id="AutoShape 10" o:spid="_x0000_s1029" type="#_x0000_t32" style="position:absolute;left:0;text-align:left;margin-left:4.95pt;margin-top:392.65pt;width:180.7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UHAIAADw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"/>
        </w:pict>
      </w:r>
      <w:r w:rsidR="00451F1A">
        <w:rPr>
          <w:noProof/>
          <w:sz w:val="20"/>
          <w:szCs w:val="20"/>
        </w:rPr>
        <w:pict>
          <v:shape id="Text Box 9" o:spid="_x0000_s1028" type="#_x0000_t202" style="position:absolute;left:0;text-align:left;margin-left:232.95pt;margin-top:565.15pt;width:216.75pt;height:55.7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" strokecolor="white [3212]">
            <v:textbox>
              <w:txbxContent>
                <w:p w:rsidR="00174370" w:rsidRPr="0095724C" w:rsidRDefault="00174370" w:rsidP="00174370">
                  <w:pPr>
                    <w:shd w:val="clear" w:color="auto" w:fill="FFFFFF"/>
                    <w:spacing w:line="240" w:lineRule="auto"/>
                    <w:jc w:val="center"/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</w:pPr>
                  <w:r w:rsidRPr="0095724C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 xml:space="preserve">) </w:t>
                  </w:r>
                  <w:proofErr w:type="gramStart"/>
                  <w:r w:rsidRPr="0095724C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>x</w:t>
                  </w:r>
                  <w:proofErr w:type="gramEnd"/>
                  <w:r w:rsidRPr="0095724C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 xml:space="preserve"> 100</w:t>
                  </w:r>
                  <w:r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>%</w:t>
                  </w:r>
                  <w:r w:rsidRPr="0095724C">
                    <w:rPr>
                      <w:rFonts w:ascii="Arial" w:hAnsi="Arial" w:cs="Arial"/>
                      <w:color w:val="000000"/>
                      <w:position w:val="-30"/>
                      <w:sz w:val="18"/>
                      <w:szCs w:val="18"/>
                    </w:rPr>
                    <w:t xml:space="preserve">    (Absorbancia inicial)</w:t>
                  </w:r>
                </w:p>
                <w:p w:rsidR="00174370" w:rsidRDefault="00174370" w:rsidP="00174370"/>
              </w:txbxContent>
            </v:textbox>
          </v:shape>
        </w:pict>
      </w:r>
    </w:p>
    <w:p w:rsidR="00D624E9" w:rsidRPr="00D624E9" w:rsidRDefault="00D624E9" w:rsidP="00D624E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624E9" w:rsidRDefault="00D624E9" w:rsidP="00D624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075BA2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CONCLUSIONES </w:t>
      </w:r>
    </w:p>
    <w:p w:rsidR="00D624E9" w:rsidRDefault="00D624E9" w:rsidP="00D624E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33DA">
        <w:rPr>
          <w:rFonts w:ascii="Arial" w:hAnsi="Arial" w:cs="Arial"/>
          <w:sz w:val="20"/>
          <w:szCs w:val="20"/>
        </w:rPr>
        <w:t>En los resultados de esta investigación, mediante el proceso fermentativo aerobio  propuesto, se logró degradar el colorante Azul índigo eficientemente, obteniendo hasta 56 %  de remoción. El sistema que tuvo mayor porcentaje de degradación de la solución de Azul índigo fue bajo las siguientes condici</w:t>
      </w:r>
      <w:r>
        <w:rPr>
          <w:rFonts w:ascii="Arial" w:hAnsi="Arial" w:cs="Arial"/>
          <w:sz w:val="20"/>
          <w:szCs w:val="20"/>
        </w:rPr>
        <w:t xml:space="preserve">ones: 5 </w:t>
      </w:r>
      <w:r w:rsidR="00B95EBA">
        <w:rPr>
          <w:rFonts w:ascii="Arial" w:hAnsi="Arial" w:cs="Arial"/>
          <w:sz w:val="20"/>
          <w:szCs w:val="20"/>
        </w:rPr>
        <w:t>ppm</w:t>
      </w:r>
      <w:r>
        <w:rPr>
          <w:rFonts w:ascii="Arial" w:hAnsi="Arial" w:cs="Arial"/>
          <w:sz w:val="20"/>
          <w:szCs w:val="20"/>
        </w:rPr>
        <w:t xml:space="preserve"> del colorante y </w:t>
      </w:r>
      <w:r>
        <w:rPr>
          <w:rFonts w:ascii="Arial" w:hAnsi="Arial" w:cs="Arial"/>
          <w:sz w:val="20"/>
          <w:szCs w:val="20"/>
        </w:rPr>
        <w:lastRenderedPageBreak/>
        <w:t xml:space="preserve">35 °C. </w:t>
      </w:r>
      <w:r w:rsidRPr="003C33DA">
        <w:rPr>
          <w:rFonts w:ascii="Arial" w:hAnsi="Arial" w:cs="Arial"/>
          <w:sz w:val="20"/>
          <w:szCs w:val="20"/>
        </w:rPr>
        <w:t>El porcentaje y la velocidad de degradación del Azul índigo son directamente proporcionales a la concentración inicial del colorante y se modela como un decaimiento exponencial con respecto al tiempo.</w:t>
      </w:r>
    </w:p>
    <w:p w:rsidR="00D624E9" w:rsidRPr="00D624E9" w:rsidRDefault="00D624E9" w:rsidP="00D624E9">
      <w:pPr>
        <w:pStyle w:val="Default"/>
        <w:spacing w:after="200" w:line="360" w:lineRule="auto"/>
        <w:jc w:val="both"/>
        <w:rPr>
          <w:sz w:val="20"/>
          <w:szCs w:val="20"/>
        </w:rPr>
      </w:pPr>
      <w:r w:rsidRPr="00D624E9">
        <w:rPr>
          <w:sz w:val="20"/>
          <w:szCs w:val="20"/>
        </w:rPr>
        <w:t xml:space="preserve">La capacidad de degradar colorantes textiles </w:t>
      </w:r>
      <w:r w:rsidRPr="00D624E9">
        <w:rPr>
          <w:i/>
          <w:iCs/>
          <w:sz w:val="20"/>
          <w:szCs w:val="20"/>
        </w:rPr>
        <w:t>in vitro</w:t>
      </w:r>
      <w:r w:rsidRPr="00D624E9">
        <w:rPr>
          <w:sz w:val="20"/>
          <w:szCs w:val="20"/>
        </w:rPr>
        <w:t>, bajo diferen</w:t>
      </w:r>
      <w:r w:rsidR="00F10E37">
        <w:rPr>
          <w:sz w:val="20"/>
          <w:szCs w:val="20"/>
        </w:rPr>
        <w:t xml:space="preserve">tes condiciones de Temperatura </w:t>
      </w:r>
      <w:r w:rsidRPr="00D624E9">
        <w:rPr>
          <w:sz w:val="20"/>
          <w:szCs w:val="20"/>
        </w:rPr>
        <w:t xml:space="preserve">y Concentraciones de colorantes sustenta la aplicación de </w:t>
      </w:r>
      <w:r w:rsidRPr="00D624E9">
        <w:rPr>
          <w:i/>
          <w:iCs/>
          <w:sz w:val="20"/>
          <w:szCs w:val="20"/>
        </w:rPr>
        <w:t>Citrobacter</w:t>
      </w:r>
      <w:r w:rsidR="00912331">
        <w:rPr>
          <w:i/>
          <w:iCs/>
          <w:sz w:val="20"/>
          <w:szCs w:val="20"/>
        </w:rPr>
        <w:t xml:space="preserve"> </w:t>
      </w:r>
      <w:r w:rsidRPr="00D624E9">
        <w:rPr>
          <w:i/>
          <w:iCs/>
          <w:sz w:val="20"/>
          <w:szCs w:val="20"/>
        </w:rPr>
        <w:t>freundii</w:t>
      </w:r>
      <w:r w:rsidR="00912331">
        <w:rPr>
          <w:i/>
          <w:iCs/>
          <w:sz w:val="20"/>
          <w:szCs w:val="20"/>
        </w:rPr>
        <w:t xml:space="preserve"> </w:t>
      </w:r>
      <w:r w:rsidRPr="00D624E9">
        <w:rPr>
          <w:sz w:val="20"/>
          <w:szCs w:val="20"/>
        </w:rPr>
        <w:t xml:space="preserve">(en medios de cultivo de referencia) en procesos de biorremediación de estos compuestos. </w:t>
      </w:r>
    </w:p>
    <w:p w:rsidR="00D624E9" w:rsidRDefault="00D624E9" w:rsidP="00D624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t>BIBLIOGRAFÍA</w:t>
      </w:r>
    </w:p>
    <w:p w:rsidR="00912331" w:rsidRPr="00075BA2" w:rsidRDefault="00912331" w:rsidP="00D624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D624E9" w:rsidRPr="00A4118B" w:rsidRDefault="00D624E9" w:rsidP="00D624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4118B">
        <w:rPr>
          <w:rFonts w:ascii="Arial" w:hAnsi="Arial" w:cs="Arial"/>
          <w:sz w:val="20"/>
          <w:szCs w:val="20"/>
        </w:rPr>
        <w:t>Anjaneyulu, Y. Sreed</w:t>
      </w:r>
      <w:r w:rsidR="001003F9">
        <w:rPr>
          <w:rFonts w:ascii="Arial" w:hAnsi="Arial" w:cs="Arial"/>
          <w:sz w:val="20"/>
          <w:szCs w:val="20"/>
        </w:rPr>
        <w:t xml:space="preserve">hara-Chary, N. y Suman-Raj, S. </w:t>
      </w:r>
      <w:r w:rsidRPr="00A4118B">
        <w:rPr>
          <w:rFonts w:ascii="Arial" w:hAnsi="Arial" w:cs="Arial"/>
          <w:sz w:val="20"/>
          <w:szCs w:val="20"/>
        </w:rPr>
        <w:t xml:space="preserve">2005. </w:t>
      </w:r>
      <w:r w:rsidRPr="002B44FA">
        <w:rPr>
          <w:rFonts w:ascii="Arial" w:hAnsi="Arial" w:cs="Arial"/>
          <w:sz w:val="20"/>
          <w:szCs w:val="20"/>
          <w:lang w:val="en-US"/>
        </w:rPr>
        <w:t>Decolourization of industrial effluents – available methods</w:t>
      </w:r>
      <w:r w:rsidR="001003F9" w:rsidRPr="002B44FA">
        <w:rPr>
          <w:rFonts w:ascii="Arial" w:hAnsi="Arial" w:cs="Arial"/>
          <w:sz w:val="20"/>
          <w:szCs w:val="20"/>
          <w:lang w:val="en-US"/>
        </w:rPr>
        <w:t xml:space="preserve"> and emerging technologies – a </w:t>
      </w:r>
      <w:r w:rsidRPr="002B44FA">
        <w:rPr>
          <w:rFonts w:ascii="Arial" w:hAnsi="Arial" w:cs="Arial"/>
          <w:sz w:val="20"/>
          <w:szCs w:val="20"/>
          <w:lang w:val="en-US"/>
        </w:rPr>
        <w:t xml:space="preserve">review. </w:t>
      </w:r>
      <w:r w:rsidRPr="00A4118B">
        <w:rPr>
          <w:rFonts w:ascii="Arial" w:hAnsi="Arial" w:cs="Arial"/>
          <w:i/>
          <w:iCs/>
          <w:sz w:val="20"/>
          <w:szCs w:val="20"/>
        </w:rPr>
        <w:t>Rev.</w:t>
      </w:r>
      <w:r w:rsidR="00D007E8">
        <w:rPr>
          <w:rFonts w:ascii="Arial" w:hAnsi="Arial" w:cs="Arial"/>
          <w:i/>
          <w:iCs/>
          <w:sz w:val="20"/>
          <w:szCs w:val="20"/>
        </w:rPr>
        <w:t xml:space="preserve"> </w:t>
      </w:r>
      <w:r w:rsidRPr="00A4118B">
        <w:rPr>
          <w:rFonts w:ascii="Arial" w:hAnsi="Arial" w:cs="Arial"/>
          <w:i/>
          <w:iCs/>
          <w:sz w:val="20"/>
          <w:szCs w:val="20"/>
        </w:rPr>
        <w:t xml:space="preserve">Environ. Sci. Technol., </w:t>
      </w:r>
      <w:r w:rsidRPr="00A4118B">
        <w:rPr>
          <w:rFonts w:ascii="Arial" w:hAnsi="Arial" w:cs="Arial"/>
          <w:bCs/>
          <w:sz w:val="20"/>
          <w:szCs w:val="20"/>
        </w:rPr>
        <w:t>4</w:t>
      </w:r>
      <w:r w:rsidRPr="00A4118B">
        <w:rPr>
          <w:rFonts w:ascii="Arial" w:hAnsi="Arial" w:cs="Arial"/>
          <w:sz w:val="20"/>
          <w:szCs w:val="20"/>
        </w:rPr>
        <w:t>: 245–273.</w:t>
      </w:r>
    </w:p>
    <w:p w:rsidR="00D624E9" w:rsidRDefault="00D624E9" w:rsidP="00D624E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624E9" w:rsidRDefault="00D624E9" w:rsidP="00D624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B44FA">
        <w:rPr>
          <w:rFonts w:ascii="Arial" w:hAnsi="Arial" w:cs="Arial"/>
          <w:sz w:val="20"/>
          <w:szCs w:val="20"/>
          <w:lang w:val="en-US"/>
        </w:rPr>
        <w:t xml:space="preserve">Cervantes, F. J. 2007. Increase business competitiveness with water recycling. </w:t>
      </w:r>
      <w:r w:rsidRPr="00A4118B">
        <w:rPr>
          <w:rFonts w:ascii="Arial" w:hAnsi="Arial" w:cs="Arial"/>
          <w:i/>
          <w:iCs/>
          <w:sz w:val="20"/>
          <w:szCs w:val="20"/>
        </w:rPr>
        <w:t>AsianWater</w:t>
      </w:r>
      <w:r w:rsidRPr="00A4118B">
        <w:rPr>
          <w:rFonts w:ascii="Arial" w:hAnsi="Arial" w:cs="Arial"/>
          <w:sz w:val="20"/>
          <w:szCs w:val="20"/>
        </w:rPr>
        <w:t>3:14-17.</w:t>
      </w:r>
    </w:p>
    <w:p w:rsidR="00D624E9" w:rsidRPr="00D624E9" w:rsidRDefault="00D624E9" w:rsidP="00D624E9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045BD" w:rsidRPr="00790538" w:rsidRDefault="00912331" w:rsidP="00174370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 xml:space="preserve">Cai, J. Cui, L. WANG, </w:t>
      </w:r>
      <w:r w:rsidR="00D624E9" w:rsidRPr="002B44FA">
        <w:rPr>
          <w:rFonts w:ascii="Arial" w:hAnsi="Arial" w:cs="Arial"/>
          <w:bCs/>
          <w:sz w:val="20"/>
          <w:szCs w:val="20"/>
          <w:lang w:val="en-US"/>
        </w:rPr>
        <w:t xml:space="preserve">Y.  </w:t>
      </w:r>
      <w:r w:rsidR="00D624E9" w:rsidRPr="00790538">
        <w:rPr>
          <w:rFonts w:ascii="Arial" w:hAnsi="Arial" w:cs="Arial"/>
          <w:bCs/>
          <w:sz w:val="20"/>
          <w:szCs w:val="20"/>
          <w:lang w:val="en-US"/>
        </w:rPr>
        <w:t>LIU Chengfu</w:t>
      </w:r>
      <w:r w:rsidR="00D624E9" w:rsidRPr="00790538">
        <w:rPr>
          <w:rFonts w:ascii="Arial" w:hAnsi="Arial" w:cs="Arial"/>
          <w:sz w:val="20"/>
          <w:szCs w:val="20"/>
          <w:lang w:val="en-US"/>
        </w:rPr>
        <w:t xml:space="preserve">. 2009.  </w:t>
      </w:r>
      <w:r w:rsidR="00D624E9" w:rsidRPr="00790538">
        <w:rPr>
          <w:rFonts w:ascii="Arial" w:hAnsi="Arial" w:cs="Arial"/>
          <w:iCs/>
          <w:sz w:val="20"/>
          <w:szCs w:val="20"/>
          <w:lang w:val="en-US"/>
        </w:rPr>
        <w:t>Effect of functional groups on sludge fo</w:t>
      </w:r>
      <w:r>
        <w:rPr>
          <w:rFonts w:ascii="Arial" w:hAnsi="Arial" w:cs="Arial"/>
          <w:iCs/>
          <w:sz w:val="20"/>
          <w:szCs w:val="20"/>
          <w:lang w:val="en-US"/>
        </w:rPr>
        <w:t xml:space="preserve">r biosorption of reactive </w:t>
      </w:r>
      <w:r w:rsidR="001003F9" w:rsidRPr="00790538">
        <w:rPr>
          <w:rFonts w:ascii="Arial" w:hAnsi="Arial" w:cs="Arial"/>
          <w:iCs/>
          <w:sz w:val="20"/>
          <w:szCs w:val="20"/>
          <w:lang w:val="en-US"/>
        </w:rPr>
        <w:t xml:space="preserve">dyes. </w:t>
      </w:r>
      <w:r w:rsidR="00D624E9" w:rsidRPr="00790538">
        <w:rPr>
          <w:rFonts w:ascii="Arial" w:hAnsi="Arial" w:cs="Arial"/>
          <w:sz w:val="20"/>
          <w:szCs w:val="20"/>
          <w:lang w:val="en-US"/>
        </w:rPr>
        <w:t>Journal of</w:t>
      </w:r>
      <w:r w:rsidR="00D007E8">
        <w:rPr>
          <w:rFonts w:ascii="Arial" w:hAnsi="Arial" w:cs="Arial"/>
          <w:sz w:val="20"/>
          <w:szCs w:val="20"/>
          <w:lang w:val="en-US"/>
        </w:rPr>
        <w:t xml:space="preserve"> </w:t>
      </w:r>
      <w:r w:rsidR="00D624E9" w:rsidRPr="00790538">
        <w:rPr>
          <w:rFonts w:ascii="Arial" w:hAnsi="Arial" w:cs="Arial"/>
          <w:sz w:val="20"/>
          <w:szCs w:val="20"/>
          <w:lang w:val="en-US"/>
        </w:rPr>
        <w:t>Environmental Sciences.  21:534–538</w:t>
      </w:r>
      <w:r w:rsidR="00174370" w:rsidRPr="00790538">
        <w:rPr>
          <w:rFonts w:ascii="Arial" w:hAnsi="Arial" w:cs="Arial"/>
          <w:sz w:val="20"/>
          <w:szCs w:val="20"/>
          <w:lang w:val="en-US"/>
        </w:rPr>
        <w:t>.</w:t>
      </w:r>
    </w:p>
    <w:sectPr w:rsidR="00C045BD" w:rsidRPr="00790538" w:rsidSect="00075BA2">
      <w:type w:val="continuous"/>
      <w:pgSz w:w="12240" w:h="15840"/>
      <w:pgMar w:top="1701" w:right="1701" w:bottom="1701" w:left="1701" w:header="709" w:footer="709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7FC" w:rsidRDefault="00D907FC" w:rsidP="0058575F">
      <w:pPr>
        <w:spacing w:after="0" w:line="240" w:lineRule="auto"/>
      </w:pPr>
      <w:r>
        <w:separator/>
      </w:r>
    </w:p>
  </w:endnote>
  <w:endnote w:type="continuationSeparator" w:id="1">
    <w:p w:rsidR="00D907FC" w:rsidRDefault="00D907FC" w:rsidP="0058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25645"/>
      <w:docPartObj>
        <w:docPartGallery w:val="Page Numbers (Bottom of Page)"/>
        <w:docPartUnique/>
      </w:docPartObj>
    </w:sdtPr>
    <w:sdtContent>
      <w:p w:rsidR="00346FE8" w:rsidRDefault="00451F1A">
        <w:pPr>
          <w:pStyle w:val="Piedepgina"/>
          <w:jc w:val="center"/>
        </w:pPr>
        <w:r w:rsidRPr="00346FE8">
          <w:rPr>
            <w:rFonts w:ascii="Arial" w:hAnsi="Arial" w:cs="Arial"/>
            <w:sz w:val="20"/>
            <w:szCs w:val="20"/>
          </w:rPr>
          <w:fldChar w:fldCharType="begin"/>
        </w:r>
        <w:r w:rsidR="00346FE8" w:rsidRPr="00346FE8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46FE8">
          <w:rPr>
            <w:rFonts w:ascii="Arial" w:hAnsi="Arial" w:cs="Arial"/>
            <w:sz w:val="20"/>
            <w:szCs w:val="20"/>
          </w:rPr>
          <w:fldChar w:fldCharType="separate"/>
        </w:r>
        <w:r w:rsidR="00D007E8">
          <w:rPr>
            <w:rFonts w:ascii="Arial" w:hAnsi="Arial" w:cs="Arial"/>
            <w:noProof/>
            <w:sz w:val="20"/>
            <w:szCs w:val="20"/>
          </w:rPr>
          <w:t>2</w:t>
        </w:r>
        <w:r w:rsidRPr="00346FE8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346FE8" w:rsidRDefault="00346FE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7FC" w:rsidRDefault="00D907FC" w:rsidP="0058575F">
      <w:pPr>
        <w:spacing w:after="0" w:line="240" w:lineRule="auto"/>
      </w:pPr>
      <w:r>
        <w:separator/>
      </w:r>
    </w:p>
  </w:footnote>
  <w:footnote w:type="continuationSeparator" w:id="1">
    <w:p w:rsidR="00D907FC" w:rsidRDefault="00D907FC" w:rsidP="00585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A41" w:rsidRDefault="005B3A41" w:rsidP="005B3A41">
    <w:pPr>
      <w:pStyle w:val="Encabezado"/>
    </w:pPr>
    <w:r>
      <w:rPr>
        <w:noProof/>
      </w:rPr>
      <w:drawing>
        <wp:inline distT="0" distB="0" distL="0" distR="0">
          <wp:extent cx="5626475" cy="990600"/>
          <wp:effectExtent l="19050" t="0" r="0" b="0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1975" cy="9933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3A41" w:rsidRDefault="005B3A4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E10D5"/>
    <w:multiLevelType w:val="hybridMultilevel"/>
    <w:tmpl w:val="DD26B1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D3951"/>
    <w:multiLevelType w:val="hybridMultilevel"/>
    <w:tmpl w:val="F3A80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61362"/>
    <w:multiLevelType w:val="hybridMultilevel"/>
    <w:tmpl w:val="DE04CA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E03DB0"/>
    <w:multiLevelType w:val="hybridMultilevel"/>
    <w:tmpl w:val="C48CE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75C9"/>
    <w:rsid w:val="00075BA2"/>
    <w:rsid w:val="001003F9"/>
    <w:rsid w:val="00161D9A"/>
    <w:rsid w:val="00174370"/>
    <w:rsid w:val="001F4ACF"/>
    <w:rsid w:val="0020242F"/>
    <w:rsid w:val="002A34F1"/>
    <w:rsid w:val="002A37FB"/>
    <w:rsid w:val="002B44FA"/>
    <w:rsid w:val="003079D6"/>
    <w:rsid w:val="00346FE8"/>
    <w:rsid w:val="003C1065"/>
    <w:rsid w:val="003E625A"/>
    <w:rsid w:val="00435F15"/>
    <w:rsid w:val="00451F1A"/>
    <w:rsid w:val="005576FD"/>
    <w:rsid w:val="0058575F"/>
    <w:rsid w:val="005B3A41"/>
    <w:rsid w:val="0060422F"/>
    <w:rsid w:val="0061321E"/>
    <w:rsid w:val="006252CC"/>
    <w:rsid w:val="00672E15"/>
    <w:rsid w:val="00721B65"/>
    <w:rsid w:val="00790538"/>
    <w:rsid w:val="008736F6"/>
    <w:rsid w:val="008A2887"/>
    <w:rsid w:val="008A40D1"/>
    <w:rsid w:val="008C5A05"/>
    <w:rsid w:val="00910352"/>
    <w:rsid w:val="00912331"/>
    <w:rsid w:val="0095724C"/>
    <w:rsid w:val="00974F32"/>
    <w:rsid w:val="00A4118B"/>
    <w:rsid w:val="00A94AE6"/>
    <w:rsid w:val="00B06566"/>
    <w:rsid w:val="00B95EBA"/>
    <w:rsid w:val="00BD0038"/>
    <w:rsid w:val="00BD39AE"/>
    <w:rsid w:val="00BD6B69"/>
    <w:rsid w:val="00C045BD"/>
    <w:rsid w:val="00C56EB9"/>
    <w:rsid w:val="00CD2918"/>
    <w:rsid w:val="00D007E8"/>
    <w:rsid w:val="00D624E9"/>
    <w:rsid w:val="00D907FC"/>
    <w:rsid w:val="00DC52CA"/>
    <w:rsid w:val="00E2121E"/>
    <w:rsid w:val="00E3033F"/>
    <w:rsid w:val="00E76695"/>
    <w:rsid w:val="00E84D34"/>
    <w:rsid w:val="00EC3F05"/>
    <w:rsid w:val="00EE0199"/>
    <w:rsid w:val="00F10E37"/>
    <w:rsid w:val="00F675C9"/>
    <w:rsid w:val="00FB5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4" type="connector" idref="#AutoShape 5"/>
        <o:r id="V:Rule5" type="connector" idref="#AutoShape 10"/>
        <o:r id="V:Rule6" type="connector" idref="#AutoShape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7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675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75C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75C9"/>
    <w:rPr>
      <w:rFonts w:eastAsiaTheme="minorEastAsia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75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75C9"/>
    <w:rPr>
      <w:rFonts w:eastAsiaTheme="minorEastAsia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5C9"/>
    <w:rPr>
      <w:rFonts w:ascii="Tahoma" w:eastAsiaTheme="minorEastAsia" w:hAnsi="Tahoma" w:cs="Tahoma"/>
      <w:sz w:val="16"/>
      <w:szCs w:val="16"/>
      <w:lang w:eastAsia="es-MX"/>
    </w:rPr>
  </w:style>
  <w:style w:type="character" w:styleId="Hipervnculo">
    <w:name w:val="Hyperlink"/>
    <w:basedOn w:val="Fuentedeprrafopredeter"/>
    <w:uiPriority w:val="99"/>
    <w:unhideWhenUsed/>
    <w:rsid w:val="00F675C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F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8575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85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5F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85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5F"/>
    <w:rPr>
      <w:rFonts w:eastAsiaTheme="minorEastAsia"/>
      <w:lang w:eastAsia="es-MX"/>
    </w:rPr>
  </w:style>
  <w:style w:type="paragraph" w:styleId="Epgrafe">
    <w:name w:val="caption"/>
    <w:basedOn w:val="Normal"/>
    <w:next w:val="Normal"/>
    <w:uiPriority w:val="35"/>
    <w:unhideWhenUsed/>
    <w:qFormat/>
    <w:rsid w:val="003E625A"/>
    <w:pPr>
      <w:spacing w:line="240" w:lineRule="auto"/>
      <w:jc w:val="both"/>
    </w:pPr>
    <w:rPr>
      <w:rFonts w:ascii="Arial" w:eastAsia="Times New Roman" w:hAnsi="Arial" w:cs="Times New Roman"/>
      <w:b/>
      <w:bCs/>
      <w:color w:val="4F81BD"/>
      <w:sz w:val="18"/>
      <w:szCs w:val="18"/>
    </w:rPr>
  </w:style>
  <w:style w:type="paragraph" w:customStyle="1" w:styleId="Default">
    <w:name w:val="Default"/>
    <w:rsid w:val="00D624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5B3A4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675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75C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75C9"/>
    <w:rPr>
      <w:rFonts w:eastAsiaTheme="minorEastAsia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75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75C9"/>
    <w:rPr>
      <w:rFonts w:eastAsiaTheme="minorEastAsia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5C9"/>
    <w:rPr>
      <w:rFonts w:ascii="Tahoma" w:eastAsiaTheme="minorEastAsia" w:hAnsi="Tahoma" w:cs="Tahoma"/>
      <w:sz w:val="16"/>
      <w:szCs w:val="16"/>
      <w:lang w:eastAsia="es-MX"/>
    </w:rPr>
  </w:style>
  <w:style w:type="character" w:styleId="Hipervnculo">
    <w:name w:val="Hyperlink"/>
    <w:basedOn w:val="Fuentedeprrafopredeter"/>
    <w:uiPriority w:val="99"/>
    <w:unhideWhenUsed/>
    <w:rsid w:val="00F675C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F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8575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85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5F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585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5F"/>
    <w:rPr>
      <w:rFonts w:eastAsiaTheme="minorEastAsia"/>
      <w:lang w:eastAsia="es-MX"/>
    </w:rPr>
  </w:style>
  <w:style w:type="paragraph" w:styleId="Epgrafe">
    <w:name w:val="caption"/>
    <w:basedOn w:val="Normal"/>
    <w:next w:val="Normal"/>
    <w:uiPriority w:val="35"/>
    <w:unhideWhenUsed/>
    <w:qFormat/>
    <w:rsid w:val="003E625A"/>
    <w:pPr>
      <w:spacing w:line="240" w:lineRule="auto"/>
      <w:jc w:val="both"/>
    </w:pPr>
    <w:rPr>
      <w:rFonts w:ascii="Arial" w:eastAsia="Times New Roman" w:hAnsi="Arial" w:cs="Times New Roman"/>
      <w:b/>
      <w:bCs/>
      <w:color w:val="4F81BD"/>
      <w:sz w:val="18"/>
      <w:szCs w:val="18"/>
    </w:rPr>
  </w:style>
  <w:style w:type="paragraph" w:customStyle="1" w:styleId="Default">
    <w:name w:val="Default"/>
    <w:rsid w:val="00D624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5B3A4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RGIO\Pictures\MAESTRIA\Titulacion\Tesis\PROTEIN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RGIO\Pictures\MAESTRIA\Titulacion\Tesis\PROTEIN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plotArea>
      <c:layout/>
      <c:scatterChart>
        <c:scatterStyle val="lineMarker"/>
        <c:ser>
          <c:idx val="0"/>
          <c:order val="0"/>
          <c:tx>
            <c:strRef>
              <c:f>Hoja1!$B$11</c:f>
              <c:strCache>
                <c:ptCount val="1"/>
                <c:pt idx="0">
                  <c:v>30 °C</c:v>
                </c:pt>
              </c:strCache>
            </c:strRef>
          </c:tx>
          <c:xVal>
            <c:numRef>
              <c:f>Hoja1!$A$12:$A$16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Hoja1!$B$12:$B$16</c:f>
              <c:numCache>
                <c:formatCode>General</c:formatCode>
                <c:ptCount val="5"/>
                <c:pt idx="0">
                  <c:v>0.42560000000000031</c:v>
                </c:pt>
                <c:pt idx="1">
                  <c:v>0.66220000000000301</c:v>
                </c:pt>
                <c:pt idx="2">
                  <c:v>1.6672</c:v>
                </c:pt>
                <c:pt idx="3">
                  <c:v>3.3727999999999967</c:v>
                </c:pt>
                <c:pt idx="4">
                  <c:v>4.8417000000000003</c:v>
                </c:pt>
              </c:numCache>
            </c:numRef>
          </c:yVal>
        </c:ser>
        <c:ser>
          <c:idx val="1"/>
          <c:order val="1"/>
          <c:tx>
            <c:strRef>
              <c:f>Hoja1!$C$11</c:f>
              <c:strCache>
                <c:ptCount val="1"/>
                <c:pt idx="0">
                  <c:v>35  °C</c:v>
                </c:pt>
              </c:strCache>
            </c:strRef>
          </c:tx>
          <c:xVal>
            <c:numRef>
              <c:f>Hoja1!$A$12:$A$16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Hoja1!$C$12:$C$16</c:f>
              <c:numCache>
                <c:formatCode>General</c:formatCode>
                <c:ptCount val="5"/>
                <c:pt idx="0">
                  <c:v>1.2330999999999934</c:v>
                </c:pt>
                <c:pt idx="1">
                  <c:v>1.8070999999999946</c:v>
                </c:pt>
                <c:pt idx="2">
                  <c:v>3.0831000000000106</c:v>
                </c:pt>
                <c:pt idx="3">
                  <c:v>7.5335000000000001</c:v>
                </c:pt>
                <c:pt idx="4">
                  <c:v>11.6144</c:v>
                </c:pt>
              </c:numCache>
            </c:numRef>
          </c:yVal>
        </c:ser>
        <c:ser>
          <c:idx val="2"/>
          <c:order val="2"/>
          <c:tx>
            <c:strRef>
              <c:f>Hoja1!$D$11</c:f>
              <c:strCache>
                <c:ptCount val="1"/>
                <c:pt idx="0">
                  <c:v>40 °C</c:v>
                </c:pt>
              </c:strCache>
            </c:strRef>
          </c:tx>
          <c:xVal>
            <c:numRef>
              <c:f>Hoja1!$A$12:$A$16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Hoja1!$D$12:$D$16</c:f>
              <c:numCache>
                <c:formatCode>General</c:formatCode>
                <c:ptCount val="5"/>
                <c:pt idx="0">
                  <c:v>1.5381</c:v>
                </c:pt>
                <c:pt idx="1">
                  <c:v>1.0398999999999925</c:v>
                </c:pt>
                <c:pt idx="2">
                  <c:v>0.66220000000000301</c:v>
                </c:pt>
                <c:pt idx="3">
                  <c:v>0.46580000000000032</c:v>
                </c:pt>
                <c:pt idx="4">
                  <c:v>0.21920000000000081</c:v>
                </c:pt>
              </c:numCache>
            </c:numRef>
          </c:yVal>
        </c:ser>
        <c:axId val="59597568"/>
        <c:axId val="59599872"/>
      </c:scatterChart>
      <c:valAx>
        <c:axId val="59597568"/>
        <c:scaling>
          <c:orientation val="minMax"/>
          <c:max val="12"/>
          <c:min val="0"/>
        </c:scaling>
        <c:axPos val="b"/>
        <c:title>
          <c:tx>
            <c:rich>
              <a:bodyPr/>
              <a:lstStyle/>
              <a:p>
                <a:pPr>
                  <a:defRPr sz="900" b="0">
                    <a:latin typeface="Arial" pitchFamily="34" charset="0"/>
                    <a:cs typeface="Arial" pitchFamily="34" charset="0"/>
                  </a:defRPr>
                </a:pPr>
                <a:r>
                  <a:rPr lang="es-MX" sz="900" b="0">
                    <a:latin typeface="Arial" pitchFamily="34" charset="0"/>
                    <a:cs typeface="Arial" pitchFamily="34" charset="0"/>
                  </a:rPr>
                  <a:t>Tiempo (horas)</a:t>
                </a:r>
              </a:p>
            </c:rich>
          </c:tx>
          <c:layout/>
        </c:title>
        <c:numFmt formatCode="0" sourceLinked="1"/>
        <c:majorTickMark val="none"/>
        <c:tickLblPos val="nextTo"/>
        <c:crossAx val="59599872"/>
        <c:crosses val="autoZero"/>
        <c:crossBetween val="midCat"/>
        <c:majorUnit val="3"/>
        <c:minorUnit val="1"/>
      </c:valAx>
      <c:valAx>
        <c:axId val="59599872"/>
        <c:scaling>
          <c:orientation val="minMax"/>
          <c:max val="6"/>
          <c:min val="0"/>
        </c:scaling>
        <c:axPos val="l"/>
        <c:title>
          <c:tx>
            <c:rich>
              <a:bodyPr/>
              <a:lstStyle/>
              <a:p>
                <a:pPr>
                  <a:defRPr sz="900"/>
                </a:pPr>
                <a:r>
                  <a:rPr lang="es-MX" sz="900" b="0">
                    <a:latin typeface="Arial" pitchFamily="34" charset="0"/>
                    <a:cs typeface="Arial" pitchFamily="34" charset="0"/>
                  </a:rPr>
                  <a:t>Concentración mg/ml</a:t>
                </a:r>
                <a:r>
                  <a:rPr lang="es-MX" sz="900" b="0" baseline="0">
                    <a:latin typeface="Arial" pitchFamily="34" charset="0"/>
                    <a:cs typeface="Arial" pitchFamily="34" charset="0"/>
                  </a:rPr>
                  <a:t> </a:t>
                </a:r>
                <a:endParaRPr lang="es-MX" sz="9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3.2768243215717807E-2"/>
              <c:y val="0.14198331353832197"/>
            </c:manualLayout>
          </c:layout>
        </c:title>
        <c:numFmt formatCode="General" sourceLinked="1"/>
        <c:majorTickMark val="none"/>
        <c:tickLblPos val="nextTo"/>
        <c:crossAx val="59597568"/>
        <c:crosses val="autoZero"/>
        <c:crossBetween val="midCat"/>
      </c:valAx>
    </c:plotArea>
    <c:legend>
      <c:legendPos val="r"/>
      <c:layout/>
      <c:txPr>
        <a:bodyPr/>
        <a:lstStyle/>
        <a:p>
          <a:pPr>
            <a:defRPr sz="900"/>
          </a:pPr>
          <a:endParaRPr lang="es-MX"/>
        </a:p>
      </c:txPr>
    </c:legend>
    <c:plotVisOnly val="1"/>
    <c:dispBlanksAs val="gap"/>
  </c:chart>
  <c:spPr>
    <a:ln>
      <a:solidFill>
        <a:srgbClr val="C00000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autoTitleDeleted val="1"/>
    <c:plotArea>
      <c:layout>
        <c:manualLayout>
          <c:layoutTarget val="inner"/>
          <c:xMode val="edge"/>
          <c:yMode val="edge"/>
          <c:x val="0.18973759100511564"/>
          <c:y val="0.19480351414406533"/>
          <c:w val="0.46817163375642346"/>
          <c:h val="0.55738878236114153"/>
        </c:manualLayout>
      </c:layout>
      <c:scatterChart>
        <c:scatterStyle val="lineMarker"/>
        <c:ser>
          <c:idx val="0"/>
          <c:order val="0"/>
          <c:tx>
            <c:strRef>
              <c:f>Hoja3!$B$8</c:f>
              <c:strCache>
                <c:ptCount val="1"/>
                <c:pt idx="0">
                  <c:v>Conc. 2.5gr</c:v>
                </c:pt>
              </c:strCache>
            </c:strRef>
          </c:tx>
          <c:xVal>
            <c:numRef>
              <c:f>Hoja3!$A$9:$A$13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Hoja3!$B$9:$B$13</c:f>
              <c:numCache>
                <c:formatCode>General</c:formatCode>
                <c:ptCount val="5"/>
                <c:pt idx="0">
                  <c:v>0.4466</c:v>
                </c:pt>
                <c:pt idx="1">
                  <c:v>0.65610000000000301</c:v>
                </c:pt>
                <c:pt idx="2">
                  <c:v>1.1721999999999999</c:v>
                </c:pt>
                <c:pt idx="3">
                  <c:v>1.7537999999999923</c:v>
                </c:pt>
                <c:pt idx="4">
                  <c:v>2.0417000000000001</c:v>
                </c:pt>
              </c:numCache>
            </c:numRef>
          </c:yVal>
        </c:ser>
        <c:ser>
          <c:idx val="1"/>
          <c:order val="1"/>
          <c:tx>
            <c:strRef>
              <c:f>Hoja3!$C$8</c:f>
              <c:strCache>
                <c:ptCount val="1"/>
                <c:pt idx="0">
                  <c:v>Conc. 5gr</c:v>
                </c:pt>
              </c:strCache>
            </c:strRef>
          </c:tx>
          <c:xVal>
            <c:numRef>
              <c:f>Hoja3!$A$9:$A$13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Hoja3!$C$9:$C$13</c:f>
              <c:numCache>
                <c:formatCode>General</c:formatCode>
                <c:ptCount val="5"/>
                <c:pt idx="0">
                  <c:v>0.71120000000000005</c:v>
                </c:pt>
                <c:pt idx="1">
                  <c:v>1.4353999999999909</c:v>
                </c:pt>
                <c:pt idx="2">
                  <c:v>1.7906</c:v>
                </c:pt>
                <c:pt idx="3">
                  <c:v>3.7324999999999977</c:v>
                </c:pt>
                <c:pt idx="4">
                  <c:v>5.4574999999999996</c:v>
                </c:pt>
              </c:numCache>
            </c:numRef>
          </c:yVal>
        </c:ser>
        <c:ser>
          <c:idx val="2"/>
          <c:order val="2"/>
          <c:tx>
            <c:strRef>
              <c:f>Hoja3!$D$8</c:f>
              <c:strCache>
                <c:ptCount val="1"/>
                <c:pt idx="0">
                  <c:v>Conc. 7.5 gr</c:v>
                </c:pt>
              </c:strCache>
            </c:strRef>
          </c:tx>
          <c:xVal>
            <c:numRef>
              <c:f>Hoja3!$A$9:$A$13</c:f>
              <c:numCache>
                <c:formatCode>General</c:formatCode>
                <c:ptCount val="5"/>
                <c:pt idx="0" formatCode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9</c:v>
                </c:pt>
                <c:pt idx="4">
                  <c:v>12</c:v>
                </c:pt>
              </c:numCache>
            </c:numRef>
          </c:xVal>
          <c:yVal>
            <c:numRef>
              <c:f>Hoja3!$D$9:$D$13</c:f>
              <c:numCache>
                <c:formatCode>General</c:formatCode>
                <c:ptCount val="5"/>
                <c:pt idx="0">
                  <c:v>0.55330000000000001</c:v>
                </c:pt>
                <c:pt idx="1">
                  <c:v>0.77090000000000336</c:v>
                </c:pt>
                <c:pt idx="2">
                  <c:v>1.3243</c:v>
                </c:pt>
                <c:pt idx="3">
                  <c:v>1.7531999999999934</c:v>
                </c:pt>
                <c:pt idx="4">
                  <c:v>2.0183</c:v>
                </c:pt>
              </c:numCache>
            </c:numRef>
          </c:yVal>
        </c:ser>
        <c:axId val="60039936"/>
        <c:axId val="60041856"/>
      </c:scatterChart>
      <c:valAx>
        <c:axId val="60039936"/>
        <c:scaling>
          <c:orientation val="minMax"/>
          <c:max val="12"/>
        </c:scaling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s-MX" sz="900" b="0">
                    <a:latin typeface="Arial" pitchFamily="34" charset="0"/>
                    <a:cs typeface="Arial" pitchFamily="34" charset="0"/>
                  </a:rPr>
                  <a:t>Tiempo (horas)</a:t>
                </a:r>
              </a:p>
            </c:rich>
          </c:tx>
          <c:layout/>
        </c:title>
        <c:numFmt formatCode="0" sourceLinked="1"/>
        <c:majorTickMark val="none"/>
        <c:tickLblPos val="nextTo"/>
        <c:crossAx val="60041856"/>
        <c:crosses val="autoZero"/>
        <c:crossBetween val="midCat"/>
        <c:majorUnit val="3"/>
      </c:valAx>
      <c:valAx>
        <c:axId val="6004185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900" b="0">
                    <a:latin typeface="Arial" pitchFamily="34" charset="0"/>
                    <a:cs typeface="Arial" pitchFamily="34" charset="0"/>
                  </a:defRPr>
                </a:pPr>
                <a:r>
                  <a:rPr lang="es-MX" sz="900" b="0">
                    <a:latin typeface="Arial" pitchFamily="34" charset="0"/>
                    <a:cs typeface="Arial" pitchFamily="34" charset="0"/>
                  </a:rPr>
                  <a:t>Concentración mg/ml</a:t>
                </a:r>
              </a:p>
            </c:rich>
          </c:tx>
          <c:layout>
            <c:manualLayout>
              <c:xMode val="edge"/>
              <c:yMode val="edge"/>
              <c:x val="1.2558463451492058E-2"/>
              <c:y val="0.15963263060628241"/>
            </c:manualLayout>
          </c:layout>
        </c:title>
        <c:numFmt formatCode="General" sourceLinked="1"/>
        <c:majorTickMark val="none"/>
        <c:tickLblPos val="nextTo"/>
        <c:crossAx val="600399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2232076866223207"/>
          <c:y val="0.32212121373976543"/>
          <c:w val="0.37275190933727576"/>
          <c:h val="0.38156850386971758"/>
        </c:manualLayout>
      </c:layout>
      <c:txPr>
        <a:bodyPr/>
        <a:lstStyle/>
        <a:p>
          <a:pPr>
            <a:defRPr sz="900"/>
          </a:pPr>
          <a:endParaRPr lang="es-MX"/>
        </a:p>
      </c:txPr>
    </c:legend>
    <c:plotVisOnly val="1"/>
    <c:dispBlanksAs val="gap"/>
  </c:chart>
  <c:spPr>
    <a:ln>
      <a:solidFill>
        <a:srgbClr val="C00000"/>
      </a:solidFill>
    </a:ln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1263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Benny Corporation</Company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 </cp:lastModifiedBy>
  <cp:revision>3</cp:revision>
  <dcterms:created xsi:type="dcterms:W3CDTF">2015-04-13T15:38:00Z</dcterms:created>
  <dcterms:modified xsi:type="dcterms:W3CDTF">2015-04-14T15:39:00Z</dcterms:modified>
</cp:coreProperties>
</file>