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B8E" w:rsidRDefault="003B4863" w:rsidP="003B4863">
      <w:pPr>
        <w:jc w:val="center"/>
        <w:rPr>
          <w:rFonts w:ascii="Arial" w:hAnsi="Arial" w:cs="Arial"/>
          <w:sz w:val="20"/>
        </w:rPr>
      </w:pPr>
      <w:r>
        <w:rPr>
          <w:rFonts w:ascii="Arial" w:hAnsi="Arial" w:cs="Arial"/>
          <w:sz w:val="20"/>
        </w:rPr>
        <w:t xml:space="preserve">Banco de germoplasma y </w:t>
      </w:r>
      <w:r w:rsidR="008E3335">
        <w:rPr>
          <w:rFonts w:ascii="Arial" w:hAnsi="Arial" w:cs="Arial"/>
          <w:sz w:val="20"/>
        </w:rPr>
        <w:t>germinaciones in vitro de cactáceas endémicas</w:t>
      </w:r>
      <w:r>
        <w:rPr>
          <w:rFonts w:ascii="Arial" w:hAnsi="Arial" w:cs="Arial"/>
          <w:sz w:val="20"/>
        </w:rPr>
        <w:t xml:space="preserve"> y en estado de  conservación </w:t>
      </w:r>
    </w:p>
    <w:p w:rsidR="003B4863" w:rsidRDefault="008E3335" w:rsidP="003B4863">
      <w:pPr>
        <w:jc w:val="center"/>
        <w:rPr>
          <w:rFonts w:ascii="Arial" w:hAnsi="Arial" w:cs="Arial"/>
          <w:sz w:val="20"/>
        </w:rPr>
      </w:pPr>
      <w:r>
        <w:rPr>
          <w:rFonts w:ascii="Arial" w:hAnsi="Arial" w:cs="Arial"/>
          <w:sz w:val="20"/>
        </w:rPr>
        <w:t>Juan Manuel Ramírez Rivas¹</w:t>
      </w:r>
      <w:r>
        <w:rPr>
          <w:rFonts w:ascii="Arial" w:hAnsi="Arial" w:cs="Arial"/>
          <w:sz w:val="20"/>
        </w:rPr>
        <w:t xml:space="preserve">, Victoria Hernández Hernández¹, </w:t>
      </w:r>
      <w:r w:rsidR="003B4863">
        <w:rPr>
          <w:rFonts w:ascii="Arial" w:hAnsi="Arial" w:cs="Arial"/>
          <w:sz w:val="20"/>
        </w:rPr>
        <w:t xml:space="preserve">Claudia Isela González López¹, </w:t>
      </w:r>
    </w:p>
    <w:p w:rsidR="003B4863" w:rsidRDefault="003B4863" w:rsidP="00512A78">
      <w:pPr>
        <w:jc w:val="center"/>
        <w:rPr>
          <w:rFonts w:ascii="Arial" w:hAnsi="Arial" w:cs="Arial"/>
          <w:sz w:val="20"/>
        </w:rPr>
      </w:pPr>
      <w:r>
        <w:rPr>
          <w:rFonts w:ascii="Arial" w:hAnsi="Arial" w:cs="Arial"/>
          <w:sz w:val="20"/>
        </w:rPr>
        <w:t>1 Instituto Tecnológico Superior de Irapuato</w:t>
      </w:r>
      <w:r w:rsidR="00512A78">
        <w:rPr>
          <w:rFonts w:ascii="Arial" w:hAnsi="Arial" w:cs="Arial"/>
          <w:sz w:val="20"/>
        </w:rPr>
        <w:t xml:space="preserve">, </w:t>
      </w:r>
      <w:hyperlink r:id="rId9" w:history="1">
        <w:r w:rsidR="00512A78" w:rsidRPr="0098135D">
          <w:rPr>
            <w:rStyle w:val="Hipervnculo"/>
            <w:rFonts w:ascii="Arial" w:hAnsi="Arial" w:cs="Arial"/>
            <w:sz w:val="20"/>
          </w:rPr>
          <w:t>clgonzalez@itesi.edu.mx</w:t>
        </w:r>
      </w:hyperlink>
      <w:r w:rsidR="00512A78">
        <w:rPr>
          <w:rFonts w:ascii="Arial" w:hAnsi="Arial" w:cs="Arial"/>
          <w:sz w:val="20"/>
        </w:rPr>
        <w:t xml:space="preserve">, </w:t>
      </w:r>
      <w:hyperlink r:id="rId10" w:history="1">
        <w:r w:rsidR="00512A78" w:rsidRPr="0098135D">
          <w:rPr>
            <w:rStyle w:val="Hipervnculo"/>
            <w:rFonts w:ascii="Arial" w:hAnsi="Arial" w:cs="Arial"/>
            <w:sz w:val="20"/>
          </w:rPr>
          <w:t>juan_rivas92@hotmail.com</w:t>
        </w:r>
      </w:hyperlink>
    </w:p>
    <w:p w:rsidR="00512A78" w:rsidRDefault="00512A78" w:rsidP="00BA3839">
      <w:pPr>
        <w:jc w:val="both"/>
        <w:rPr>
          <w:rFonts w:ascii="Arial" w:hAnsi="Arial" w:cs="Arial"/>
          <w:sz w:val="20"/>
        </w:rPr>
      </w:pPr>
      <w:r>
        <w:rPr>
          <w:rFonts w:ascii="Arial" w:hAnsi="Arial" w:cs="Arial"/>
          <w:sz w:val="20"/>
        </w:rPr>
        <w:t>RESUMEN:</w:t>
      </w:r>
    </w:p>
    <w:p w:rsidR="008E3335" w:rsidRPr="008E3335" w:rsidRDefault="008E3335" w:rsidP="00BA3839">
      <w:pPr>
        <w:jc w:val="both"/>
        <w:rPr>
          <w:rFonts w:ascii="Arial" w:hAnsi="Arial" w:cs="Arial"/>
          <w:sz w:val="20"/>
        </w:rPr>
      </w:pPr>
      <w:r>
        <w:rPr>
          <w:rFonts w:ascii="Arial" w:hAnsi="Arial" w:cs="Arial"/>
          <w:sz w:val="20"/>
        </w:rPr>
        <w:t xml:space="preserve">Se estableció un banco de germoplasma y se germinaron </w:t>
      </w:r>
      <w:r>
        <w:rPr>
          <w:rFonts w:ascii="Arial" w:hAnsi="Arial" w:cs="Arial"/>
          <w:i/>
          <w:sz w:val="20"/>
        </w:rPr>
        <w:t>in vitro</w:t>
      </w:r>
      <w:r>
        <w:rPr>
          <w:rFonts w:ascii="Arial" w:hAnsi="Arial" w:cs="Arial"/>
          <w:sz w:val="20"/>
        </w:rPr>
        <w:t xml:space="preserve"> cactáceas endémicas. Las semillas colectadas fueron evaluadas para conocer su viabilidad mediante el método de flotación, seleccionando solo aquellas semillas que contenían el embrión</w:t>
      </w:r>
      <w:r w:rsidR="005C348F">
        <w:rPr>
          <w:rFonts w:ascii="Arial" w:hAnsi="Arial" w:cs="Arial"/>
          <w:sz w:val="20"/>
        </w:rPr>
        <w:t xml:space="preserve">  los resultados de la tabla de viabilidad muestran que el genero </w:t>
      </w:r>
      <w:proofErr w:type="spellStart"/>
      <w:r w:rsidR="005C348F">
        <w:rPr>
          <w:rFonts w:ascii="Arial" w:hAnsi="Arial" w:cs="Arial"/>
          <w:i/>
          <w:sz w:val="20"/>
        </w:rPr>
        <w:t>Stenocactus</w:t>
      </w:r>
      <w:proofErr w:type="spellEnd"/>
      <w:r w:rsidR="00560E25">
        <w:rPr>
          <w:rFonts w:ascii="Arial" w:hAnsi="Arial" w:cs="Arial"/>
          <w:i/>
          <w:sz w:val="20"/>
        </w:rPr>
        <w:t xml:space="preserve"> </w:t>
      </w:r>
      <w:r w:rsidR="00560E25">
        <w:rPr>
          <w:rFonts w:ascii="Arial" w:hAnsi="Arial" w:cs="Arial"/>
          <w:sz w:val="20"/>
        </w:rPr>
        <w:t xml:space="preserve"> muestra un alto porcentaje de viabilidad  en cuanto a semillas</w:t>
      </w:r>
      <w:r>
        <w:rPr>
          <w:rFonts w:ascii="Arial" w:hAnsi="Arial" w:cs="Arial"/>
          <w:sz w:val="20"/>
        </w:rPr>
        <w:t xml:space="preserve">. Una vez determinada su viabilidad se germinaron en medio </w:t>
      </w:r>
      <w:proofErr w:type="spellStart"/>
      <w:r>
        <w:rPr>
          <w:rFonts w:ascii="Arial" w:hAnsi="Arial" w:cs="Arial"/>
          <w:sz w:val="20"/>
        </w:rPr>
        <w:t>Murashige</w:t>
      </w:r>
      <w:proofErr w:type="spellEnd"/>
      <w:r>
        <w:rPr>
          <w:rFonts w:ascii="Arial" w:hAnsi="Arial" w:cs="Arial"/>
          <w:sz w:val="20"/>
        </w:rPr>
        <w:t xml:space="preserve"> y </w:t>
      </w:r>
      <w:proofErr w:type="spellStart"/>
      <w:r>
        <w:rPr>
          <w:rFonts w:ascii="Arial" w:hAnsi="Arial" w:cs="Arial"/>
          <w:sz w:val="20"/>
        </w:rPr>
        <w:t>Skoog</w:t>
      </w:r>
      <w:proofErr w:type="spellEnd"/>
      <w:r>
        <w:rPr>
          <w:rFonts w:ascii="Arial" w:hAnsi="Arial" w:cs="Arial"/>
          <w:sz w:val="20"/>
        </w:rPr>
        <w:t xml:space="preserve"> </w:t>
      </w:r>
      <w:r w:rsidR="005C348F">
        <w:rPr>
          <w:rFonts w:ascii="Arial" w:hAnsi="Arial" w:cs="Arial"/>
          <w:sz w:val="20"/>
        </w:rPr>
        <w:t xml:space="preserve"> (MS) </w:t>
      </w:r>
      <w:r>
        <w:rPr>
          <w:rFonts w:ascii="Arial" w:hAnsi="Arial" w:cs="Arial"/>
          <w:sz w:val="20"/>
        </w:rPr>
        <w:t>a diferentes concentraciones</w:t>
      </w:r>
      <w:r w:rsidR="005C348F">
        <w:rPr>
          <w:rFonts w:ascii="Arial" w:hAnsi="Arial" w:cs="Arial"/>
          <w:sz w:val="20"/>
        </w:rPr>
        <w:t xml:space="preserve"> (0, 25,50 y 100%) adicionando reguladores de crecimiento vegetal</w:t>
      </w:r>
      <w:r w:rsidR="00560E25">
        <w:rPr>
          <w:rFonts w:ascii="Arial" w:hAnsi="Arial" w:cs="Arial"/>
          <w:sz w:val="20"/>
        </w:rPr>
        <w:t xml:space="preserve"> como el acido </w:t>
      </w:r>
      <w:proofErr w:type="spellStart"/>
      <w:r w:rsidR="00560E25">
        <w:rPr>
          <w:rFonts w:ascii="Arial" w:hAnsi="Arial" w:cs="Arial"/>
          <w:sz w:val="20"/>
        </w:rPr>
        <w:t>indolacetico</w:t>
      </w:r>
      <w:proofErr w:type="spellEnd"/>
      <w:r w:rsidR="00560E25">
        <w:rPr>
          <w:rFonts w:ascii="Arial" w:hAnsi="Arial" w:cs="Arial"/>
          <w:sz w:val="20"/>
        </w:rPr>
        <w:t xml:space="preserve"> (AIA) y 6- </w:t>
      </w:r>
      <w:proofErr w:type="spellStart"/>
      <w:r w:rsidR="00560E25">
        <w:rPr>
          <w:rFonts w:ascii="Arial" w:hAnsi="Arial" w:cs="Arial"/>
          <w:sz w:val="20"/>
        </w:rPr>
        <w:t>benzilaminopurina</w:t>
      </w:r>
      <w:proofErr w:type="spellEnd"/>
      <w:r w:rsidR="00560E25">
        <w:rPr>
          <w:rFonts w:ascii="Arial" w:hAnsi="Arial" w:cs="Arial"/>
          <w:sz w:val="20"/>
        </w:rPr>
        <w:t>. Para evaluar el crecimiento se realizaron mediciones durante 15 días</w:t>
      </w:r>
      <w:r w:rsidR="0055232B">
        <w:rPr>
          <w:rFonts w:ascii="Arial" w:hAnsi="Arial" w:cs="Arial"/>
          <w:sz w:val="20"/>
        </w:rPr>
        <w:t xml:space="preserve"> cada 24 horas.</w:t>
      </w:r>
    </w:p>
    <w:p w:rsidR="00512A78" w:rsidRDefault="00512A78" w:rsidP="00BA3839">
      <w:pPr>
        <w:jc w:val="both"/>
        <w:rPr>
          <w:rFonts w:ascii="Arial" w:hAnsi="Arial" w:cs="Arial"/>
          <w:sz w:val="20"/>
        </w:rPr>
      </w:pPr>
      <w:r>
        <w:rPr>
          <w:rFonts w:ascii="Arial" w:hAnsi="Arial" w:cs="Arial"/>
          <w:sz w:val="20"/>
        </w:rPr>
        <w:t>INTRODUCCIÓN:</w:t>
      </w:r>
    </w:p>
    <w:p w:rsidR="00512A78" w:rsidRDefault="002A1D05" w:rsidP="00282BE5">
      <w:pPr>
        <w:jc w:val="both"/>
        <w:rPr>
          <w:rFonts w:ascii="Arial" w:hAnsi="Arial" w:cs="Arial"/>
          <w:sz w:val="20"/>
        </w:rPr>
      </w:pPr>
      <w:r>
        <w:rPr>
          <w:rFonts w:ascii="Arial" w:hAnsi="Arial" w:cs="Arial"/>
          <w:sz w:val="20"/>
        </w:rPr>
        <w:t xml:space="preserve">México es uno de los países con mayor diversidad de cactáceas </w:t>
      </w:r>
      <w:r w:rsidR="00BA3839">
        <w:rPr>
          <w:rFonts w:ascii="Arial" w:hAnsi="Arial" w:cs="Arial"/>
          <w:sz w:val="20"/>
        </w:rPr>
        <w:t xml:space="preserve"> debido a que  ocupan más del 70% del territorio nacional, esto se debe a las condiciones climatológicas,</w:t>
      </w:r>
      <w:r w:rsidR="003F3DCC">
        <w:rPr>
          <w:rFonts w:ascii="Arial" w:hAnsi="Arial" w:cs="Arial"/>
          <w:sz w:val="20"/>
        </w:rPr>
        <w:t xml:space="preserve"> latitud y la topografí</w:t>
      </w:r>
      <w:r w:rsidR="00DE0EAA">
        <w:rPr>
          <w:rFonts w:ascii="Arial" w:hAnsi="Arial" w:cs="Arial"/>
          <w:sz w:val="20"/>
        </w:rPr>
        <w:t>a como en el desierto Chihuahuense que abarca los estado de  Coahuila, Nuevo León, San Luis Potosí, Guanajuato, Zacatecas,</w:t>
      </w:r>
      <w:r w:rsidR="00282BE5">
        <w:rPr>
          <w:rFonts w:ascii="Arial" w:hAnsi="Arial" w:cs="Arial"/>
          <w:sz w:val="20"/>
        </w:rPr>
        <w:t xml:space="preserve"> Querétaro, Aguascalientes donde podemos encontrar cactáceas como </w:t>
      </w:r>
      <w:proofErr w:type="spellStart"/>
      <w:r w:rsidR="00282BE5">
        <w:rPr>
          <w:rFonts w:ascii="Arial" w:hAnsi="Arial" w:cs="Arial"/>
          <w:i/>
          <w:sz w:val="20"/>
        </w:rPr>
        <w:t>Mammillaria</w:t>
      </w:r>
      <w:proofErr w:type="spellEnd"/>
      <w:r w:rsidR="00282BE5">
        <w:rPr>
          <w:rFonts w:ascii="Arial" w:hAnsi="Arial" w:cs="Arial"/>
          <w:i/>
          <w:sz w:val="20"/>
        </w:rPr>
        <w:t xml:space="preserve">, Opuntias </w:t>
      </w:r>
      <w:r w:rsidR="00282BE5">
        <w:rPr>
          <w:rFonts w:ascii="Arial" w:hAnsi="Arial" w:cs="Arial"/>
          <w:sz w:val="20"/>
        </w:rPr>
        <w:t xml:space="preserve">y </w:t>
      </w:r>
      <w:proofErr w:type="spellStart"/>
      <w:r w:rsidR="00282BE5">
        <w:rPr>
          <w:rFonts w:ascii="Arial" w:hAnsi="Arial" w:cs="Arial"/>
          <w:i/>
          <w:sz w:val="20"/>
        </w:rPr>
        <w:t>Ferocactus</w:t>
      </w:r>
      <w:proofErr w:type="spellEnd"/>
      <w:r w:rsidR="004B47C2">
        <w:rPr>
          <w:rFonts w:ascii="Arial" w:hAnsi="Arial" w:cs="Arial"/>
          <w:i/>
          <w:sz w:val="20"/>
        </w:rPr>
        <w:t xml:space="preserve"> </w:t>
      </w:r>
      <w:r w:rsidR="004B47C2">
        <w:rPr>
          <w:rFonts w:ascii="Arial" w:hAnsi="Arial" w:cs="Arial"/>
          <w:sz w:val="20"/>
        </w:rPr>
        <w:t>(Jiménez, 2011)</w:t>
      </w:r>
      <w:r w:rsidR="00282BE5">
        <w:rPr>
          <w:rFonts w:ascii="Arial" w:hAnsi="Arial" w:cs="Arial"/>
          <w:sz w:val="20"/>
        </w:rPr>
        <w:t xml:space="preserve">. En el estado de Guanajuato se tienen registrados 23 géneros y 100 especies de los cuales el genero </w:t>
      </w:r>
      <w:r w:rsidR="00282BE5">
        <w:rPr>
          <w:rFonts w:ascii="Arial" w:hAnsi="Arial" w:cs="Arial"/>
          <w:i/>
          <w:sz w:val="20"/>
        </w:rPr>
        <w:t>Mammillaria</w:t>
      </w:r>
      <w:r w:rsidR="00282BE5">
        <w:rPr>
          <w:rFonts w:ascii="Arial" w:hAnsi="Arial" w:cs="Arial"/>
          <w:sz w:val="20"/>
        </w:rPr>
        <w:t xml:space="preserve"> es de los que mas se destacan con 35 géneros</w:t>
      </w:r>
      <w:r w:rsidR="00A04AD8">
        <w:rPr>
          <w:rFonts w:ascii="Arial" w:hAnsi="Arial" w:cs="Arial"/>
          <w:sz w:val="20"/>
        </w:rPr>
        <w:t xml:space="preserve"> (Zamudio y Galván, 2011)</w:t>
      </w:r>
      <w:r w:rsidR="00DF7CAE">
        <w:rPr>
          <w:rFonts w:ascii="Arial" w:hAnsi="Arial" w:cs="Arial"/>
          <w:sz w:val="20"/>
        </w:rPr>
        <w:t xml:space="preserve"> delos cuales se encuentran dentro de la NOM-ECOL-059</w:t>
      </w:r>
      <w:r w:rsidR="00A764F7">
        <w:rPr>
          <w:rFonts w:ascii="Arial" w:hAnsi="Arial" w:cs="Arial"/>
          <w:sz w:val="20"/>
        </w:rPr>
        <w:t xml:space="preserve">. Las cactáceas han tenido diversos usos como </w:t>
      </w:r>
      <w:r w:rsidR="00683529">
        <w:rPr>
          <w:rFonts w:ascii="Arial" w:hAnsi="Arial" w:cs="Arial"/>
          <w:sz w:val="20"/>
        </w:rPr>
        <w:t>alimento y refugio para algunas especies de  mamíferos, aves, reptiles e insectos, para el ser humano se utilizan como medicamento y plantas de ornato</w:t>
      </w:r>
      <w:r w:rsidR="00C460DD">
        <w:rPr>
          <w:rFonts w:ascii="Arial" w:hAnsi="Arial" w:cs="Arial"/>
          <w:sz w:val="20"/>
        </w:rPr>
        <w:t xml:space="preserve"> </w:t>
      </w:r>
      <w:r w:rsidR="00354FD2">
        <w:rPr>
          <w:rFonts w:ascii="Arial" w:hAnsi="Arial" w:cs="Arial"/>
          <w:sz w:val="20"/>
        </w:rPr>
        <w:t>(Bravo-</w:t>
      </w:r>
      <w:proofErr w:type="spellStart"/>
      <w:r w:rsidR="00354FD2">
        <w:rPr>
          <w:rFonts w:ascii="Arial" w:hAnsi="Arial" w:cs="Arial"/>
          <w:sz w:val="20"/>
        </w:rPr>
        <w:t>Hollis</w:t>
      </w:r>
      <w:proofErr w:type="spellEnd"/>
      <w:r w:rsidR="00354FD2">
        <w:rPr>
          <w:rFonts w:ascii="Arial" w:hAnsi="Arial" w:cs="Arial"/>
          <w:sz w:val="20"/>
        </w:rPr>
        <w:t>, 1991</w:t>
      </w:r>
      <w:r w:rsidR="00A04AD8" w:rsidRPr="00A04AD8">
        <w:rPr>
          <w:rFonts w:ascii="Arial" w:hAnsi="Arial" w:cs="Arial"/>
          <w:sz w:val="20"/>
        </w:rPr>
        <w:t>)</w:t>
      </w:r>
      <w:r w:rsidR="00683529">
        <w:rPr>
          <w:rFonts w:ascii="Arial" w:hAnsi="Arial" w:cs="Arial"/>
          <w:sz w:val="20"/>
        </w:rPr>
        <w:t>. Este último uso ha provocado que algunas especies de cactáceas se encuentren en estatus de conservación</w:t>
      </w:r>
      <w:r w:rsidR="00DF7CAE">
        <w:rPr>
          <w:rFonts w:ascii="Arial" w:hAnsi="Arial" w:cs="Arial"/>
          <w:sz w:val="20"/>
        </w:rPr>
        <w:t xml:space="preserve"> o amenazadas</w:t>
      </w:r>
      <w:r w:rsidR="00683529">
        <w:rPr>
          <w:rFonts w:ascii="Arial" w:hAnsi="Arial" w:cs="Arial"/>
          <w:sz w:val="20"/>
        </w:rPr>
        <w:t xml:space="preserve"> </w:t>
      </w:r>
      <w:r w:rsidR="001B64C2">
        <w:rPr>
          <w:rFonts w:ascii="Arial" w:hAnsi="Arial" w:cs="Arial"/>
          <w:sz w:val="20"/>
        </w:rPr>
        <w:t>debido a los colores llamativos que tienen sus flores que son apreciadas por coleccionistas principalmente de países como Holanda, Estados Unidos, Alemania y Japón, otro factor es la destrucción de su hábitat para  realizar actividades agrícolas, la introducción de especies exóticas y la colecta ilegal para los fines antes mencionados</w:t>
      </w:r>
      <w:r w:rsidR="004B47C2">
        <w:rPr>
          <w:rFonts w:ascii="Arial" w:hAnsi="Arial" w:cs="Arial"/>
          <w:sz w:val="20"/>
        </w:rPr>
        <w:t xml:space="preserve"> (Castillo et al</w:t>
      </w:r>
      <w:r w:rsidR="00354FD2">
        <w:rPr>
          <w:rFonts w:ascii="Arial" w:hAnsi="Arial" w:cs="Arial"/>
          <w:sz w:val="20"/>
        </w:rPr>
        <w:t>, 2010</w:t>
      </w:r>
      <w:r w:rsidR="004B47C2">
        <w:rPr>
          <w:rFonts w:ascii="Arial" w:hAnsi="Arial" w:cs="Arial"/>
          <w:sz w:val="20"/>
        </w:rPr>
        <w:t>).</w:t>
      </w:r>
    </w:p>
    <w:p w:rsidR="00DE0EAA" w:rsidRDefault="001B64C2" w:rsidP="00282BE5">
      <w:pPr>
        <w:jc w:val="both"/>
        <w:rPr>
          <w:rFonts w:ascii="Arial" w:hAnsi="Arial" w:cs="Arial"/>
          <w:sz w:val="20"/>
        </w:rPr>
      </w:pPr>
      <w:r>
        <w:rPr>
          <w:rFonts w:ascii="Arial" w:hAnsi="Arial" w:cs="Arial"/>
          <w:sz w:val="20"/>
        </w:rPr>
        <w:t>Una de las estrategias que se propone para la conservación de especies de cactáceas en peligro de extinción es por medio del cultivo de tejidos vegetales,  que ha sido utilizado en los últimos años para la obtención de muchos organismos</w:t>
      </w:r>
      <w:r w:rsidR="005A2C90">
        <w:rPr>
          <w:rFonts w:ascii="Arial" w:hAnsi="Arial" w:cs="Arial"/>
          <w:sz w:val="20"/>
        </w:rPr>
        <w:t>, por lo que es necesario contar con suficiente material vegetal que se puede obtener por medio de los bancos de germoplasma.</w:t>
      </w:r>
    </w:p>
    <w:p w:rsidR="00AF2944" w:rsidRDefault="00DE0EAA" w:rsidP="00BA3839">
      <w:pPr>
        <w:jc w:val="both"/>
        <w:rPr>
          <w:rFonts w:ascii="Arial" w:hAnsi="Arial" w:cs="Arial"/>
          <w:sz w:val="20"/>
        </w:rPr>
      </w:pPr>
      <w:r>
        <w:rPr>
          <w:rFonts w:ascii="Arial" w:hAnsi="Arial" w:cs="Arial"/>
          <w:sz w:val="20"/>
        </w:rPr>
        <w:t>TEORIA:</w:t>
      </w:r>
    </w:p>
    <w:p w:rsidR="00C460DD" w:rsidRDefault="00AF2944" w:rsidP="00BA3839">
      <w:pPr>
        <w:jc w:val="both"/>
        <w:rPr>
          <w:rFonts w:ascii="Arial" w:hAnsi="Arial" w:cs="Arial"/>
          <w:sz w:val="20"/>
        </w:rPr>
      </w:pPr>
      <w:r>
        <w:rPr>
          <w:rFonts w:ascii="Arial" w:hAnsi="Arial" w:cs="Arial"/>
          <w:sz w:val="20"/>
        </w:rPr>
        <w:t>La conservación es un tema  que ha tomado relevancia  en los últimos año</w:t>
      </w:r>
      <w:r w:rsidR="00F937AA">
        <w:rPr>
          <w:rFonts w:ascii="Arial" w:hAnsi="Arial" w:cs="Arial"/>
          <w:sz w:val="20"/>
        </w:rPr>
        <w:t xml:space="preserve">s debido al proceso acelerado de degradación del ambiente, de los cuales se puede desarrollar  en dos modalidades de gran importancia como la conservación </w:t>
      </w:r>
      <w:r w:rsidR="00F937AA" w:rsidRPr="00F937AA">
        <w:rPr>
          <w:rFonts w:ascii="Arial" w:hAnsi="Arial" w:cs="Arial"/>
          <w:i/>
          <w:sz w:val="20"/>
        </w:rPr>
        <w:t>in situ</w:t>
      </w:r>
      <w:r w:rsidR="00F937AA">
        <w:rPr>
          <w:rFonts w:ascii="Arial" w:hAnsi="Arial" w:cs="Arial"/>
          <w:sz w:val="20"/>
        </w:rPr>
        <w:t xml:space="preserve"> y </w:t>
      </w:r>
      <w:r w:rsidR="00F937AA" w:rsidRPr="00F937AA">
        <w:rPr>
          <w:rFonts w:ascii="Arial" w:hAnsi="Arial" w:cs="Arial"/>
          <w:i/>
          <w:sz w:val="20"/>
        </w:rPr>
        <w:t>ex situ</w:t>
      </w:r>
      <w:r w:rsidR="00F937AA">
        <w:rPr>
          <w:rFonts w:ascii="Arial" w:hAnsi="Arial" w:cs="Arial"/>
          <w:i/>
          <w:sz w:val="20"/>
        </w:rPr>
        <w:t>.</w:t>
      </w:r>
      <w:r w:rsidR="00F937AA">
        <w:rPr>
          <w:rFonts w:ascii="Arial" w:hAnsi="Arial" w:cs="Arial"/>
          <w:sz w:val="20"/>
        </w:rPr>
        <w:t xml:space="preserve"> </w:t>
      </w:r>
      <w:r w:rsidR="008E57AE">
        <w:rPr>
          <w:rFonts w:ascii="Arial" w:hAnsi="Arial" w:cs="Arial"/>
          <w:sz w:val="20"/>
        </w:rPr>
        <w:t>La</w:t>
      </w:r>
      <w:r w:rsidR="00F937AA">
        <w:rPr>
          <w:rFonts w:ascii="Arial" w:hAnsi="Arial" w:cs="Arial"/>
          <w:sz w:val="20"/>
        </w:rPr>
        <w:t xml:space="preserve"> conservación ex situ requiere de una </w:t>
      </w:r>
      <w:r w:rsidR="00F937AA">
        <w:rPr>
          <w:rFonts w:ascii="Arial" w:hAnsi="Arial" w:cs="Arial"/>
          <w:sz w:val="20"/>
        </w:rPr>
        <w:lastRenderedPageBreak/>
        <w:t>gran aplicación de técnicas  especializadas que contribuyen a la  recuperación</w:t>
      </w:r>
      <w:r w:rsidR="00F62C63">
        <w:rPr>
          <w:rFonts w:ascii="Arial" w:hAnsi="Arial" w:cs="Arial"/>
          <w:sz w:val="20"/>
        </w:rPr>
        <w:t xml:space="preserve"> y sobrevivencia del individuo.</w:t>
      </w:r>
      <w:r w:rsidR="006F7FEF">
        <w:rPr>
          <w:rFonts w:ascii="Arial" w:hAnsi="Arial" w:cs="Arial"/>
          <w:sz w:val="20"/>
        </w:rPr>
        <w:t xml:space="preserve"> </w:t>
      </w:r>
      <w:r w:rsidR="00F62C63">
        <w:rPr>
          <w:rFonts w:ascii="Arial" w:hAnsi="Arial" w:cs="Arial"/>
          <w:sz w:val="20"/>
        </w:rPr>
        <w:t xml:space="preserve">Mientras que la conservación </w:t>
      </w:r>
      <w:r w:rsidR="00F62C63">
        <w:rPr>
          <w:rFonts w:ascii="Arial" w:hAnsi="Arial" w:cs="Arial"/>
          <w:i/>
          <w:sz w:val="20"/>
        </w:rPr>
        <w:t xml:space="preserve"> in situ</w:t>
      </w:r>
      <w:r w:rsidR="00F62C63">
        <w:rPr>
          <w:rFonts w:ascii="Arial" w:hAnsi="Arial" w:cs="Arial"/>
          <w:sz w:val="20"/>
        </w:rPr>
        <w:t xml:space="preserve">  se refiere a la conservación de los recursos naturales y los ecosistemas</w:t>
      </w:r>
      <w:r w:rsidR="00C460DD">
        <w:rPr>
          <w:rFonts w:ascii="Arial" w:hAnsi="Arial" w:cs="Arial"/>
          <w:sz w:val="20"/>
        </w:rPr>
        <w:t xml:space="preserve"> y mantenimiento de las especies en </w:t>
      </w:r>
      <w:r w:rsidR="006E2D12">
        <w:rPr>
          <w:rFonts w:ascii="Arial" w:hAnsi="Arial" w:cs="Arial"/>
          <w:sz w:val="20"/>
        </w:rPr>
        <w:t>sus hábitats naturales (</w:t>
      </w:r>
      <w:proofErr w:type="spellStart"/>
      <w:r w:rsidR="006E2D12">
        <w:rPr>
          <w:rFonts w:ascii="Arial" w:hAnsi="Arial" w:cs="Arial"/>
          <w:sz w:val="20"/>
        </w:rPr>
        <w:t>Lascurái</w:t>
      </w:r>
      <w:r w:rsidR="00C460DD">
        <w:rPr>
          <w:rFonts w:ascii="Arial" w:hAnsi="Arial" w:cs="Arial"/>
          <w:sz w:val="20"/>
        </w:rPr>
        <w:t>n</w:t>
      </w:r>
      <w:proofErr w:type="spellEnd"/>
      <w:r w:rsidR="00C460DD">
        <w:rPr>
          <w:rFonts w:ascii="Arial" w:hAnsi="Arial" w:cs="Arial"/>
          <w:sz w:val="20"/>
        </w:rPr>
        <w:t>, et al, 2009).</w:t>
      </w:r>
    </w:p>
    <w:p w:rsidR="00AF2944" w:rsidRPr="00AF2944" w:rsidRDefault="00AF2944" w:rsidP="00BA3839">
      <w:pPr>
        <w:jc w:val="both"/>
        <w:rPr>
          <w:rFonts w:ascii="Arial" w:hAnsi="Arial" w:cs="Arial"/>
          <w:sz w:val="20"/>
        </w:rPr>
      </w:pPr>
      <w:r>
        <w:rPr>
          <w:rFonts w:ascii="Arial" w:hAnsi="Arial" w:cs="Arial"/>
          <w:sz w:val="20"/>
        </w:rPr>
        <w:t xml:space="preserve">Los bancos de germoplasma son centros donde se  almacenan y maneja la variabilidad genética de los organismos de una determinada especie los cuales se  dividen en bancos de semillas de cultivo </w:t>
      </w:r>
      <w:r>
        <w:rPr>
          <w:rFonts w:ascii="Arial" w:hAnsi="Arial" w:cs="Arial"/>
          <w:i/>
          <w:sz w:val="20"/>
        </w:rPr>
        <w:t>in vitro</w:t>
      </w:r>
      <w:r>
        <w:rPr>
          <w:rFonts w:ascii="Arial" w:hAnsi="Arial" w:cs="Arial"/>
          <w:sz w:val="20"/>
        </w:rPr>
        <w:t>, bancos de polen, bancos de genes o bancos de ADN</w:t>
      </w:r>
      <w:r w:rsidR="00F937AA">
        <w:rPr>
          <w:rFonts w:ascii="Arial" w:hAnsi="Arial" w:cs="Arial"/>
          <w:sz w:val="20"/>
        </w:rPr>
        <w:t xml:space="preserve"> (</w:t>
      </w:r>
      <w:proofErr w:type="spellStart"/>
      <w:r w:rsidR="00F937AA">
        <w:rPr>
          <w:rFonts w:ascii="Arial" w:hAnsi="Arial" w:cs="Arial"/>
          <w:sz w:val="20"/>
        </w:rPr>
        <w:t>Iriondo</w:t>
      </w:r>
      <w:proofErr w:type="spellEnd"/>
      <w:r w:rsidR="00F937AA">
        <w:rPr>
          <w:rFonts w:ascii="Arial" w:hAnsi="Arial" w:cs="Arial"/>
          <w:sz w:val="20"/>
        </w:rPr>
        <w:t>, 2001)</w:t>
      </w:r>
      <w:r w:rsidR="008E57AE">
        <w:rPr>
          <w:rFonts w:ascii="Arial" w:hAnsi="Arial" w:cs="Arial"/>
          <w:sz w:val="20"/>
        </w:rPr>
        <w:t xml:space="preserve">. En cuanto a los bancos de germoplasma de cactáceas en México se encuentra  ubicado en el municipio de Cadereyta de Montes, Querétaro considerado uno de los más grandes de América latina al albergar especies como magueyes, nopales y biznagas. </w:t>
      </w:r>
    </w:p>
    <w:p w:rsidR="00DE0EAA" w:rsidRDefault="007F073C" w:rsidP="00BA3839">
      <w:pPr>
        <w:jc w:val="both"/>
        <w:rPr>
          <w:rFonts w:ascii="Arial" w:hAnsi="Arial" w:cs="Arial"/>
          <w:sz w:val="20"/>
        </w:rPr>
      </w:pPr>
      <w:r>
        <w:rPr>
          <w:rFonts w:ascii="Arial" w:hAnsi="Arial" w:cs="Arial"/>
          <w:sz w:val="20"/>
        </w:rPr>
        <w:t>Los</w:t>
      </w:r>
      <w:r w:rsidR="00AD5C5C">
        <w:rPr>
          <w:rFonts w:ascii="Arial" w:hAnsi="Arial" w:cs="Arial"/>
          <w:sz w:val="20"/>
        </w:rPr>
        <w:t xml:space="preserve"> primeros trabajos relacionados con la germinación y establecimiento de bancos de germoplasma de cactáceas </w:t>
      </w:r>
      <w:r>
        <w:rPr>
          <w:rFonts w:ascii="Arial" w:hAnsi="Arial" w:cs="Arial"/>
          <w:sz w:val="20"/>
        </w:rPr>
        <w:t xml:space="preserve">tuvieron sus inicios en los años 80 cuando </w:t>
      </w:r>
      <w:proofErr w:type="spellStart"/>
      <w:r>
        <w:rPr>
          <w:rFonts w:ascii="Arial" w:hAnsi="Arial" w:cs="Arial"/>
          <w:sz w:val="20"/>
        </w:rPr>
        <w:t>Molphe</w:t>
      </w:r>
      <w:proofErr w:type="spellEnd"/>
      <w:r>
        <w:rPr>
          <w:rFonts w:ascii="Arial" w:hAnsi="Arial" w:cs="Arial"/>
          <w:sz w:val="20"/>
        </w:rPr>
        <w:t xml:space="preserve">-Bach, Villalobos, Rangel y </w:t>
      </w:r>
      <w:proofErr w:type="spellStart"/>
      <w:r>
        <w:rPr>
          <w:rFonts w:ascii="Arial" w:hAnsi="Arial" w:cs="Arial"/>
          <w:sz w:val="20"/>
        </w:rPr>
        <w:t>Viramontes</w:t>
      </w:r>
      <w:proofErr w:type="spellEnd"/>
      <w:r>
        <w:rPr>
          <w:rFonts w:ascii="Arial" w:hAnsi="Arial" w:cs="Arial"/>
          <w:sz w:val="20"/>
        </w:rPr>
        <w:t xml:space="preserve"> desarrollaron un sistema de propagación y conservación de germoplasma  de forma</w:t>
      </w:r>
      <w:r>
        <w:rPr>
          <w:rFonts w:ascii="Arial" w:hAnsi="Arial" w:cs="Arial"/>
          <w:i/>
          <w:sz w:val="20"/>
        </w:rPr>
        <w:t xml:space="preserve"> in vitro</w:t>
      </w:r>
      <w:r>
        <w:rPr>
          <w:rFonts w:ascii="Arial" w:hAnsi="Arial" w:cs="Arial"/>
          <w:sz w:val="20"/>
        </w:rPr>
        <w:t xml:space="preserve"> de cactáceas</w:t>
      </w:r>
      <w:r w:rsidR="00AF2944">
        <w:rPr>
          <w:rFonts w:ascii="Arial" w:hAnsi="Arial" w:cs="Arial"/>
          <w:sz w:val="20"/>
        </w:rPr>
        <w:t xml:space="preserve">. </w:t>
      </w:r>
    </w:p>
    <w:p w:rsidR="00C460DD" w:rsidRDefault="00C460DD" w:rsidP="00BA3839">
      <w:pPr>
        <w:jc w:val="both"/>
        <w:rPr>
          <w:rFonts w:ascii="Arial" w:hAnsi="Arial" w:cs="Arial"/>
          <w:sz w:val="20"/>
        </w:rPr>
      </w:pPr>
      <w:r>
        <w:rPr>
          <w:rFonts w:ascii="Arial" w:hAnsi="Arial" w:cs="Arial"/>
          <w:sz w:val="20"/>
        </w:rPr>
        <w:t>Una de las técnicas de conservación de germoplasma es mediante el uso de herramientas biotecnológicas como el cultivo de tejidos el cual nos permite producir  organismos a partir de poco material vegetal teniendo éxito en especies de interés agrícola, forestal y hortícola</w:t>
      </w:r>
      <w:r w:rsidR="00036B92">
        <w:rPr>
          <w:rFonts w:ascii="Arial" w:hAnsi="Arial" w:cs="Arial"/>
          <w:sz w:val="20"/>
        </w:rPr>
        <w:t xml:space="preserve"> (Calva y Pérez, 2005) dividiéndose en etapas como: el establecimiento de cultivos </w:t>
      </w:r>
      <w:r w:rsidR="007D5021">
        <w:rPr>
          <w:rFonts w:ascii="Arial" w:hAnsi="Arial" w:cs="Arial"/>
          <w:sz w:val="20"/>
        </w:rPr>
        <w:t>aséptico que permite la selección del material vegetal con el cual se va a trabajar. Establecimiento del medio de cultivo en esta segunda etapa el material vegetal se somete a un proceso de desinfección bajo condiciones de total limpieza (</w:t>
      </w:r>
      <w:r w:rsidR="008E57AE">
        <w:rPr>
          <w:rFonts w:ascii="Arial" w:hAnsi="Arial" w:cs="Arial"/>
          <w:sz w:val="20"/>
        </w:rPr>
        <w:t>Rodríguez</w:t>
      </w:r>
      <w:r w:rsidR="007D5021">
        <w:rPr>
          <w:rFonts w:ascii="Arial" w:hAnsi="Arial" w:cs="Arial"/>
          <w:sz w:val="20"/>
        </w:rPr>
        <w:t>, 2006). La  tercera etapa consiste en la multiplicación  que es el uso de reguladores de crecimiento</w:t>
      </w:r>
      <w:r w:rsidR="008E57AE">
        <w:rPr>
          <w:rFonts w:ascii="Arial" w:hAnsi="Arial" w:cs="Arial"/>
          <w:sz w:val="20"/>
        </w:rPr>
        <w:t xml:space="preserve"> como las auxinas, la</w:t>
      </w:r>
      <w:r w:rsidR="00DF7CAE">
        <w:rPr>
          <w:rFonts w:ascii="Arial" w:hAnsi="Arial" w:cs="Arial"/>
          <w:sz w:val="20"/>
        </w:rPr>
        <w:t xml:space="preserve">s </w:t>
      </w:r>
      <w:proofErr w:type="spellStart"/>
      <w:r w:rsidR="00DF7CAE">
        <w:rPr>
          <w:rFonts w:ascii="Arial" w:hAnsi="Arial" w:cs="Arial"/>
          <w:sz w:val="20"/>
        </w:rPr>
        <w:t>giberelinas</w:t>
      </w:r>
      <w:proofErr w:type="spellEnd"/>
      <w:r w:rsidR="00DF7CAE">
        <w:rPr>
          <w:rFonts w:ascii="Arial" w:hAnsi="Arial" w:cs="Arial"/>
          <w:sz w:val="20"/>
        </w:rPr>
        <w:t xml:space="preserve"> y las </w:t>
      </w:r>
      <w:proofErr w:type="spellStart"/>
      <w:r w:rsidR="00DF7CAE">
        <w:rPr>
          <w:rFonts w:ascii="Arial" w:hAnsi="Arial" w:cs="Arial"/>
          <w:sz w:val="20"/>
        </w:rPr>
        <w:t>citocininas</w:t>
      </w:r>
      <w:proofErr w:type="spellEnd"/>
      <w:r w:rsidR="00DF7CAE">
        <w:rPr>
          <w:rFonts w:ascii="Arial" w:hAnsi="Arial" w:cs="Arial"/>
          <w:sz w:val="20"/>
        </w:rPr>
        <w:t xml:space="preserve"> (Amador-</w:t>
      </w:r>
      <w:proofErr w:type="spellStart"/>
      <w:r w:rsidR="00DF7CAE">
        <w:rPr>
          <w:rFonts w:ascii="Arial" w:hAnsi="Arial" w:cs="Arial"/>
          <w:sz w:val="20"/>
        </w:rPr>
        <w:t>Alferes</w:t>
      </w:r>
      <w:proofErr w:type="spellEnd"/>
      <w:r w:rsidR="00DF7CAE">
        <w:rPr>
          <w:rFonts w:ascii="Arial" w:hAnsi="Arial" w:cs="Arial"/>
          <w:sz w:val="20"/>
        </w:rPr>
        <w:t xml:space="preserve"> et al 2013), enraizamiento y aclimatación</w:t>
      </w:r>
    </w:p>
    <w:p w:rsidR="007D5021" w:rsidRDefault="007D5021" w:rsidP="00BA3839">
      <w:pPr>
        <w:jc w:val="both"/>
        <w:rPr>
          <w:rFonts w:ascii="Arial" w:hAnsi="Arial" w:cs="Arial"/>
          <w:sz w:val="20"/>
        </w:rPr>
      </w:pPr>
      <w:r>
        <w:rPr>
          <w:rFonts w:ascii="Arial" w:hAnsi="Arial" w:cs="Arial"/>
          <w:sz w:val="20"/>
        </w:rPr>
        <w:t>PARTE EXPERIMENTAL:</w:t>
      </w:r>
    </w:p>
    <w:p w:rsidR="00DF7CAE" w:rsidRDefault="00DF7CAE" w:rsidP="00BA3839">
      <w:pPr>
        <w:jc w:val="both"/>
        <w:rPr>
          <w:rFonts w:ascii="Arial" w:hAnsi="Arial" w:cs="Arial"/>
          <w:sz w:val="20"/>
        </w:rPr>
      </w:pPr>
      <w:r>
        <w:rPr>
          <w:rFonts w:ascii="Arial" w:hAnsi="Arial" w:cs="Arial"/>
          <w:sz w:val="20"/>
        </w:rPr>
        <w:t>Colecta</w:t>
      </w:r>
      <w:r w:rsidR="007319DF">
        <w:rPr>
          <w:rFonts w:ascii="Arial" w:hAnsi="Arial" w:cs="Arial"/>
          <w:sz w:val="20"/>
        </w:rPr>
        <w:t xml:space="preserve"> y conservación del material  vegetal</w:t>
      </w:r>
    </w:p>
    <w:p w:rsidR="007319DF" w:rsidRDefault="00116814" w:rsidP="00BA3839">
      <w:pPr>
        <w:jc w:val="both"/>
        <w:rPr>
          <w:rFonts w:ascii="Arial" w:hAnsi="Arial" w:cs="Arial"/>
          <w:sz w:val="20"/>
          <w:szCs w:val="20"/>
          <w:lang w:val="es-ES"/>
        </w:rPr>
      </w:pPr>
      <w:r w:rsidRPr="00116814">
        <w:rPr>
          <w:rFonts w:ascii="Arial" w:hAnsi="Arial" w:cs="Arial"/>
          <w:sz w:val="20"/>
          <w:szCs w:val="20"/>
        </w:rPr>
        <w:t xml:space="preserve">La primera etapa consiste en la colecta de frutos </w:t>
      </w:r>
      <w:r w:rsidRPr="00116814">
        <w:rPr>
          <w:rFonts w:ascii="Arial" w:hAnsi="Arial" w:cs="Arial"/>
          <w:sz w:val="20"/>
          <w:szCs w:val="20"/>
          <w:lang w:val="es-ES"/>
        </w:rPr>
        <w:t>con</w:t>
      </w:r>
      <w:r w:rsidR="00DF7CAE">
        <w:rPr>
          <w:rFonts w:ascii="Arial" w:hAnsi="Arial" w:cs="Arial"/>
          <w:sz w:val="20"/>
          <w:szCs w:val="20"/>
          <w:lang w:val="es-ES"/>
        </w:rPr>
        <w:t xml:space="preserve"> ayuda de pinzas de puntas fina</w:t>
      </w:r>
      <w:r w:rsidR="004B47C2">
        <w:rPr>
          <w:rFonts w:ascii="Arial" w:hAnsi="Arial" w:cs="Arial"/>
          <w:sz w:val="20"/>
          <w:szCs w:val="20"/>
          <w:lang w:val="es-ES"/>
        </w:rPr>
        <w:t xml:space="preserve">, para la separación de las semillas de </w:t>
      </w:r>
      <w:r w:rsidRPr="00116814">
        <w:rPr>
          <w:rFonts w:ascii="Arial" w:hAnsi="Arial" w:cs="Arial"/>
          <w:sz w:val="20"/>
          <w:szCs w:val="20"/>
          <w:lang w:val="es-ES"/>
        </w:rPr>
        <w:t>los frutos</w:t>
      </w:r>
      <w:r w:rsidR="004B47C2">
        <w:rPr>
          <w:rFonts w:ascii="Arial" w:hAnsi="Arial" w:cs="Arial"/>
          <w:sz w:val="20"/>
          <w:szCs w:val="20"/>
          <w:lang w:val="es-ES"/>
        </w:rPr>
        <w:t>,</w:t>
      </w:r>
      <w:r w:rsidRPr="00116814">
        <w:rPr>
          <w:rFonts w:ascii="Arial" w:hAnsi="Arial" w:cs="Arial"/>
          <w:sz w:val="20"/>
          <w:szCs w:val="20"/>
          <w:lang w:val="es-ES"/>
        </w:rPr>
        <w:t xml:space="preserve"> </w:t>
      </w:r>
      <w:r w:rsidR="004E273D">
        <w:rPr>
          <w:rFonts w:ascii="Arial" w:hAnsi="Arial" w:cs="Arial"/>
          <w:sz w:val="20"/>
          <w:szCs w:val="20"/>
          <w:lang w:val="es-ES"/>
        </w:rPr>
        <w:t xml:space="preserve">se utilizo un tamiz para separar las semillas de la pulpa bajo la llave del agua corriente, una vez que se eliminaron los restos de la pulpa se colocaron  en un recipiente  de plástico con papel absorbente  dejándolas </w:t>
      </w:r>
      <w:r w:rsidR="007319DF">
        <w:rPr>
          <w:rFonts w:ascii="Arial" w:hAnsi="Arial" w:cs="Arial"/>
          <w:sz w:val="20"/>
          <w:szCs w:val="20"/>
          <w:lang w:val="es-ES"/>
        </w:rPr>
        <w:t>secar a temperatura ambiente. Una vez secas se colocaron en bolsas de papel estraza y se colocaron en refrigeración (SEMARNAT).</w:t>
      </w:r>
    </w:p>
    <w:p w:rsidR="007319DF" w:rsidRDefault="007319DF" w:rsidP="00BA3839">
      <w:pPr>
        <w:jc w:val="both"/>
        <w:rPr>
          <w:rFonts w:ascii="Arial" w:hAnsi="Arial" w:cs="Arial"/>
          <w:sz w:val="20"/>
          <w:szCs w:val="20"/>
          <w:lang w:val="es-ES"/>
        </w:rPr>
      </w:pPr>
      <w:r>
        <w:rPr>
          <w:rFonts w:ascii="Arial" w:hAnsi="Arial" w:cs="Arial"/>
          <w:sz w:val="20"/>
          <w:szCs w:val="20"/>
          <w:lang w:val="es-ES"/>
        </w:rPr>
        <w:t>Viabilidad de las semillas</w:t>
      </w:r>
    </w:p>
    <w:p w:rsidR="007319DF" w:rsidRDefault="002D18A6" w:rsidP="00BA3839">
      <w:pPr>
        <w:jc w:val="both"/>
        <w:rPr>
          <w:rFonts w:ascii="Arial" w:hAnsi="Arial" w:cs="Arial"/>
          <w:sz w:val="20"/>
          <w:szCs w:val="20"/>
          <w:lang w:val="es-ES"/>
        </w:rPr>
      </w:pPr>
      <w:r>
        <w:rPr>
          <w:rFonts w:ascii="Arial" w:hAnsi="Arial" w:cs="Arial"/>
          <w:sz w:val="20"/>
          <w:szCs w:val="20"/>
          <w:lang w:val="es-ES"/>
        </w:rPr>
        <w:t>P</w:t>
      </w:r>
      <w:r w:rsidR="007319DF">
        <w:rPr>
          <w:rFonts w:ascii="Arial" w:hAnsi="Arial" w:cs="Arial"/>
          <w:sz w:val="20"/>
          <w:szCs w:val="20"/>
          <w:lang w:val="es-ES"/>
        </w:rPr>
        <w:t>ara determinar si una semilla era viable se utilizo</w:t>
      </w:r>
      <w:r>
        <w:rPr>
          <w:rFonts w:ascii="Arial" w:hAnsi="Arial" w:cs="Arial"/>
          <w:sz w:val="20"/>
          <w:szCs w:val="20"/>
          <w:lang w:val="es-ES"/>
        </w:rPr>
        <w:t xml:space="preserve"> el método de flotación que consistió en colocar en un vaso de precipitado con agua, las semillas colectadas, las semillas que contenían mayor peso eran las que se hundieron en el vaso son las que fueron utilizadas, mientras que las semillas que flotaban se les agrego jabón en polvo y se agitaron para romper la tensión superficial</w:t>
      </w:r>
      <w:r w:rsidR="00CA5155">
        <w:rPr>
          <w:rFonts w:ascii="Arial" w:hAnsi="Arial" w:cs="Arial"/>
          <w:sz w:val="20"/>
          <w:szCs w:val="20"/>
          <w:lang w:val="es-ES"/>
        </w:rPr>
        <w:t xml:space="preserve"> (García</w:t>
      </w:r>
      <w:r>
        <w:rPr>
          <w:rFonts w:ascii="Arial" w:hAnsi="Arial" w:cs="Arial"/>
          <w:sz w:val="20"/>
          <w:szCs w:val="20"/>
          <w:lang w:val="es-ES"/>
        </w:rPr>
        <w:t xml:space="preserve"> et al, 2010) y se volvieron a colocar en otro vaso con agua.</w:t>
      </w:r>
    </w:p>
    <w:p w:rsidR="007319DF" w:rsidRDefault="002D18A6" w:rsidP="00BA3839">
      <w:pPr>
        <w:jc w:val="both"/>
        <w:rPr>
          <w:rFonts w:ascii="Arial" w:hAnsi="Arial" w:cs="Arial"/>
          <w:i/>
          <w:sz w:val="20"/>
          <w:szCs w:val="20"/>
          <w:lang w:val="es-ES"/>
        </w:rPr>
      </w:pPr>
      <w:r>
        <w:rPr>
          <w:rFonts w:ascii="Arial" w:hAnsi="Arial" w:cs="Arial"/>
          <w:sz w:val="20"/>
          <w:szCs w:val="20"/>
          <w:lang w:val="es-ES"/>
        </w:rPr>
        <w:t xml:space="preserve">Cultivo </w:t>
      </w:r>
      <w:r>
        <w:rPr>
          <w:rFonts w:ascii="Arial" w:hAnsi="Arial" w:cs="Arial"/>
          <w:i/>
          <w:sz w:val="20"/>
          <w:szCs w:val="20"/>
          <w:lang w:val="es-ES"/>
        </w:rPr>
        <w:t>in vitro</w:t>
      </w:r>
    </w:p>
    <w:p w:rsidR="002D18A6" w:rsidRDefault="002D18A6" w:rsidP="00BA3839">
      <w:pPr>
        <w:jc w:val="both"/>
        <w:rPr>
          <w:rFonts w:ascii="Arial" w:hAnsi="Arial" w:cs="Arial"/>
          <w:sz w:val="20"/>
          <w:lang w:val="es-ES"/>
        </w:rPr>
      </w:pPr>
      <w:r w:rsidRPr="002D18A6">
        <w:rPr>
          <w:rFonts w:ascii="Arial" w:hAnsi="Arial" w:cs="Arial"/>
          <w:sz w:val="20"/>
          <w:lang w:val="es-ES"/>
        </w:rPr>
        <w:lastRenderedPageBreak/>
        <w:t>Las semillas colectadas se somet</w:t>
      </w:r>
      <w:r>
        <w:rPr>
          <w:rFonts w:ascii="Arial" w:hAnsi="Arial" w:cs="Arial"/>
          <w:sz w:val="20"/>
          <w:lang w:val="es-ES"/>
        </w:rPr>
        <w:t>iero</w:t>
      </w:r>
      <w:r w:rsidRPr="002D18A6">
        <w:rPr>
          <w:rFonts w:ascii="Arial" w:hAnsi="Arial" w:cs="Arial"/>
          <w:sz w:val="20"/>
          <w:lang w:val="es-ES"/>
        </w:rPr>
        <w:t xml:space="preserve">n a cinco enjuagues con agua destilada  con 0.1% de </w:t>
      </w:r>
      <w:proofErr w:type="spellStart"/>
      <w:r w:rsidRPr="002D18A6">
        <w:rPr>
          <w:rFonts w:ascii="Arial" w:hAnsi="Arial" w:cs="Arial"/>
          <w:sz w:val="20"/>
          <w:lang w:val="es-ES"/>
        </w:rPr>
        <w:t>Extran</w:t>
      </w:r>
      <w:proofErr w:type="spellEnd"/>
      <w:r w:rsidRPr="002D18A6">
        <w:rPr>
          <w:rFonts w:ascii="Arial" w:hAnsi="Arial" w:cs="Arial"/>
          <w:sz w:val="20"/>
          <w:lang w:val="es-ES"/>
        </w:rPr>
        <w:t xml:space="preserve"> (Merck), también podemos utilizar jabón liquido </w:t>
      </w:r>
      <w:proofErr w:type="spellStart"/>
      <w:r w:rsidRPr="002D18A6">
        <w:rPr>
          <w:rFonts w:ascii="Arial" w:hAnsi="Arial" w:cs="Arial"/>
          <w:sz w:val="20"/>
          <w:lang w:val="es-ES"/>
        </w:rPr>
        <w:t>Dawn</w:t>
      </w:r>
      <w:proofErr w:type="spellEnd"/>
      <w:r w:rsidRPr="002D18A6">
        <w:rPr>
          <w:rFonts w:ascii="Arial" w:hAnsi="Arial" w:cs="Arial"/>
          <w:sz w:val="20"/>
          <w:lang w:val="es-ES"/>
        </w:rPr>
        <w:t>®</w:t>
      </w:r>
      <w:r w:rsidR="00354FD2">
        <w:rPr>
          <w:rFonts w:ascii="Arial" w:hAnsi="Arial" w:cs="Arial"/>
          <w:sz w:val="20"/>
          <w:lang w:val="es-ES"/>
        </w:rPr>
        <w:t xml:space="preserve"> </w:t>
      </w:r>
      <w:r w:rsidRPr="002D18A6">
        <w:rPr>
          <w:rFonts w:ascii="Arial" w:hAnsi="Arial" w:cs="Arial"/>
          <w:sz w:val="20"/>
          <w:lang w:val="es-ES"/>
        </w:rPr>
        <w:t>por 20 minutos</w:t>
      </w:r>
      <w:r>
        <w:rPr>
          <w:rFonts w:ascii="Arial" w:hAnsi="Arial" w:cs="Arial"/>
          <w:sz w:val="20"/>
          <w:lang w:val="es-ES"/>
        </w:rPr>
        <w:t>,</w:t>
      </w:r>
      <w:r w:rsidR="00354FD2" w:rsidRPr="00354FD2">
        <w:rPr>
          <w:rFonts w:ascii="Times New Roman" w:hAnsi="Times New Roman" w:cs="Times New Roman"/>
          <w:sz w:val="24"/>
          <w:lang w:val="es-ES"/>
        </w:rPr>
        <w:t xml:space="preserve"> </w:t>
      </w:r>
      <w:r w:rsidR="00354FD2" w:rsidRPr="00354FD2">
        <w:rPr>
          <w:rFonts w:ascii="Arial" w:hAnsi="Arial" w:cs="Arial"/>
          <w:sz w:val="20"/>
          <w:lang w:val="es-ES"/>
        </w:rPr>
        <w:t xml:space="preserve">una vez  concluido este paso se colocaran en etanol al 70%,  durante veinte minutos, después con </w:t>
      </w:r>
      <w:proofErr w:type="spellStart"/>
      <w:r w:rsidR="00354FD2" w:rsidRPr="00354FD2">
        <w:rPr>
          <w:rFonts w:ascii="Arial" w:hAnsi="Arial" w:cs="Arial"/>
          <w:sz w:val="20"/>
          <w:lang w:val="es-ES"/>
        </w:rPr>
        <w:t>NaOCl</w:t>
      </w:r>
      <w:proofErr w:type="spellEnd"/>
      <w:r w:rsidR="00354FD2" w:rsidRPr="00354FD2">
        <w:rPr>
          <w:rFonts w:ascii="Arial" w:hAnsi="Arial" w:cs="Arial"/>
          <w:sz w:val="20"/>
          <w:lang w:val="es-ES"/>
        </w:rPr>
        <w:t xml:space="preserve"> al 30% adic</w:t>
      </w:r>
      <w:r w:rsidR="00354FD2">
        <w:rPr>
          <w:rFonts w:ascii="Arial" w:hAnsi="Arial" w:cs="Arial"/>
          <w:sz w:val="20"/>
          <w:lang w:val="es-ES"/>
        </w:rPr>
        <w:t xml:space="preserve">ionado con tres gotas de </w:t>
      </w:r>
      <w:proofErr w:type="spellStart"/>
      <w:r w:rsidR="00354FD2">
        <w:rPr>
          <w:rFonts w:ascii="Arial" w:hAnsi="Arial" w:cs="Arial"/>
          <w:sz w:val="20"/>
          <w:lang w:val="es-ES"/>
        </w:rPr>
        <w:t>Tween</w:t>
      </w:r>
      <w:proofErr w:type="spellEnd"/>
      <w:r w:rsidR="00354FD2">
        <w:rPr>
          <w:rFonts w:ascii="Arial" w:hAnsi="Arial" w:cs="Arial"/>
          <w:sz w:val="20"/>
          <w:lang w:val="es-ES"/>
        </w:rPr>
        <w:t>®</w:t>
      </w:r>
      <w:r w:rsidR="00354FD2" w:rsidRPr="00354FD2">
        <w:rPr>
          <w:rFonts w:ascii="Arial" w:hAnsi="Arial" w:cs="Arial"/>
          <w:sz w:val="20"/>
          <w:lang w:val="es-ES"/>
        </w:rPr>
        <w:t xml:space="preserve">. Este proceso </w:t>
      </w:r>
      <w:r w:rsidR="00354FD2">
        <w:rPr>
          <w:rFonts w:ascii="Arial" w:hAnsi="Arial" w:cs="Arial"/>
          <w:sz w:val="20"/>
          <w:lang w:val="es-ES"/>
        </w:rPr>
        <w:t xml:space="preserve">se realizo </w:t>
      </w:r>
      <w:r w:rsidR="00354FD2" w:rsidRPr="00354FD2">
        <w:rPr>
          <w:rFonts w:ascii="Arial" w:hAnsi="Arial" w:cs="Arial"/>
          <w:sz w:val="20"/>
          <w:lang w:val="es-ES"/>
        </w:rPr>
        <w:t>en agitación continua</w:t>
      </w:r>
      <w:r w:rsidR="00354FD2">
        <w:rPr>
          <w:rFonts w:ascii="Arial" w:hAnsi="Arial" w:cs="Arial"/>
          <w:sz w:val="20"/>
          <w:lang w:val="es-ES"/>
        </w:rPr>
        <w:t>.</w:t>
      </w:r>
      <w:r w:rsidR="00354FD2" w:rsidRPr="00354FD2">
        <w:rPr>
          <w:rFonts w:ascii="Times New Roman" w:hAnsi="Times New Roman" w:cs="Times New Roman"/>
          <w:sz w:val="24"/>
          <w:lang w:val="es-ES"/>
        </w:rPr>
        <w:t xml:space="preserve"> </w:t>
      </w:r>
      <w:r w:rsidR="00354FD2" w:rsidRPr="00354FD2">
        <w:rPr>
          <w:rFonts w:ascii="Arial" w:hAnsi="Arial" w:cs="Arial"/>
          <w:sz w:val="20"/>
          <w:lang w:val="es-ES"/>
        </w:rPr>
        <w:t xml:space="preserve">Una vez desinfectadas las semillas se llevaran a la campana de flujo laminar donde se enjuagaran cuatro veces con agua destilada estéril y se inocularan cinco semillas por cada frasco </w:t>
      </w:r>
      <w:proofErr w:type="spellStart"/>
      <w:r w:rsidR="00354FD2" w:rsidRPr="00354FD2">
        <w:rPr>
          <w:rFonts w:ascii="Arial" w:hAnsi="Arial" w:cs="Arial"/>
          <w:sz w:val="20"/>
          <w:lang w:val="es-ES"/>
        </w:rPr>
        <w:t>Gerber</w:t>
      </w:r>
      <w:proofErr w:type="spellEnd"/>
      <w:r w:rsidR="00354FD2" w:rsidRPr="00354FD2">
        <w:rPr>
          <w:rFonts w:ascii="Arial" w:hAnsi="Arial" w:cs="Arial"/>
          <w:sz w:val="20"/>
          <w:lang w:val="es-ES"/>
        </w:rPr>
        <w:t>® con 30ml</w:t>
      </w:r>
      <w:r w:rsidR="00354FD2">
        <w:rPr>
          <w:rFonts w:ascii="Arial" w:hAnsi="Arial" w:cs="Arial"/>
          <w:sz w:val="20"/>
          <w:lang w:val="es-ES"/>
        </w:rPr>
        <w:t xml:space="preserve"> de medio de cultivo </w:t>
      </w:r>
      <w:r w:rsidR="00354FD2" w:rsidRPr="00354FD2">
        <w:rPr>
          <w:rFonts w:ascii="Arial" w:hAnsi="Arial" w:cs="Arial"/>
          <w:sz w:val="20"/>
          <w:lang w:val="es-ES"/>
        </w:rPr>
        <w:t>MS (</w:t>
      </w:r>
      <w:proofErr w:type="spellStart"/>
      <w:r w:rsidR="00354FD2" w:rsidRPr="00354FD2">
        <w:rPr>
          <w:rFonts w:ascii="Arial" w:hAnsi="Arial" w:cs="Arial"/>
          <w:sz w:val="20"/>
          <w:lang w:val="es-ES"/>
        </w:rPr>
        <w:t>Murashige</w:t>
      </w:r>
      <w:proofErr w:type="spellEnd"/>
      <w:r w:rsidR="00354FD2" w:rsidRPr="00354FD2">
        <w:rPr>
          <w:rFonts w:ascii="Arial" w:hAnsi="Arial" w:cs="Arial"/>
          <w:sz w:val="20"/>
          <w:lang w:val="es-ES"/>
        </w:rPr>
        <w:t xml:space="preserve"> y </w:t>
      </w:r>
      <w:proofErr w:type="spellStart"/>
      <w:r w:rsidR="00354FD2" w:rsidRPr="00354FD2">
        <w:rPr>
          <w:rFonts w:ascii="Arial" w:hAnsi="Arial" w:cs="Arial"/>
          <w:sz w:val="20"/>
          <w:lang w:val="es-ES"/>
        </w:rPr>
        <w:t>Skoog</w:t>
      </w:r>
      <w:proofErr w:type="spellEnd"/>
      <w:r w:rsidR="00354FD2">
        <w:rPr>
          <w:rFonts w:ascii="Arial" w:hAnsi="Arial" w:cs="Arial"/>
          <w:sz w:val="20"/>
          <w:lang w:val="es-ES"/>
        </w:rPr>
        <w:t>) a diferentes concentraciones (0, 25, 50 y 100%). dejaron a temperatura ambiente donde se realizaron las evaluaciones durante 15 días.</w:t>
      </w:r>
    </w:p>
    <w:p w:rsidR="0055232B" w:rsidRDefault="0055232B" w:rsidP="00BA3839">
      <w:pPr>
        <w:jc w:val="both"/>
        <w:rPr>
          <w:rFonts w:ascii="Arial" w:hAnsi="Arial" w:cs="Arial"/>
          <w:sz w:val="20"/>
          <w:lang w:val="es-ES"/>
        </w:rPr>
      </w:pPr>
      <w:r>
        <w:rPr>
          <w:rFonts w:ascii="Arial" w:hAnsi="Arial" w:cs="Arial"/>
          <w:sz w:val="20"/>
          <w:lang w:val="es-ES"/>
        </w:rPr>
        <w:t>RESULTADOS:</w:t>
      </w:r>
    </w:p>
    <w:p w:rsidR="0055232B" w:rsidRDefault="0055232B" w:rsidP="00BA3839">
      <w:pPr>
        <w:jc w:val="both"/>
        <w:rPr>
          <w:rFonts w:ascii="Arial" w:hAnsi="Arial" w:cs="Arial"/>
          <w:sz w:val="20"/>
          <w:lang w:val="es-ES"/>
        </w:rPr>
      </w:pPr>
      <w:r>
        <w:rPr>
          <w:rFonts w:ascii="Arial" w:hAnsi="Arial" w:cs="Arial"/>
          <w:sz w:val="20"/>
          <w:lang w:val="es-ES"/>
        </w:rPr>
        <w:t>Viabilidad de las semillas</w:t>
      </w:r>
    </w:p>
    <w:p w:rsidR="0055232B" w:rsidRDefault="0055232B" w:rsidP="00BA3839">
      <w:pPr>
        <w:jc w:val="both"/>
        <w:rPr>
          <w:rFonts w:ascii="Arial" w:hAnsi="Arial" w:cs="Arial"/>
          <w:sz w:val="20"/>
          <w:lang w:val="es-ES"/>
        </w:rPr>
      </w:pPr>
      <w:r>
        <w:rPr>
          <w:rFonts w:ascii="Arial" w:hAnsi="Arial" w:cs="Arial"/>
          <w:sz w:val="20"/>
          <w:lang w:val="es-ES"/>
        </w:rPr>
        <w:t xml:space="preserve">El genero </w:t>
      </w:r>
      <w:proofErr w:type="spellStart"/>
      <w:r>
        <w:rPr>
          <w:rFonts w:ascii="Arial" w:hAnsi="Arial" w:cs="Arial"/>
          <w:i/>
          <w:sz w:val="20"/>
          <w:lang w:val="es-ES"/>
        </w:rPr>
        <w:t>Stenocactus</w:t>
      </w:r>
      <w:proofErr w:type="spellEnd"/>
      <w:r>
        <w:rPr>
          <w:rFonts w:ascii="Arial" w:hAnsi="Arial" w:cs="Arial"/>
          <w:sz w:val="20"/>
          <w:lang w:val="es-ES"/>
        </w:rPr>
        <w:t xml:space="preserve"> presenta una mayor viabilidad de las semillas colectadas debido a que presentaba mas frutos mientras que para </w:t>
      </w:r>
      <w:proofErr w:type="spellStart"/>
      <w:r>
        <w:rPr>
          <w:rFonts w:ascii="Arial" w:hAnsi="Arial" w:cs="Arial"/>
          <w:i/>
          <w:sz w:val="20"/>
          <w:lang w:val="es-ES"/>
        </w:rPr>
        <w:t>Mammillaria</w:t>
      </w:r>
      <w:proofErr w:type="spellEnd"/>
      <w:r>
        <w:rPr>
          <w:rFonts w:ascii="Arial" w:hAnsi="Arial" w:cs="Arial"/>
          <w:i/>
          <w:sz w:val="20"/>
          <w:lang w:val="es-ES"/>
        </w:rPr>
        <w:t xml:space="preserve"> </w:t>
      </w:r>
      <w:proofErr w:type="spellStart"/>
      <w:r>
        <w:rPr>
          <w:rFonts w:ascii="Arial" w:hAnsi="Arial" w:cs="Arial"/>
          <w:i/>
          <w:sz w:val="20"/>
          <w:lang w:val="es-ES"/>
        </w:rPr>
        <w:t>densispina</w:t>
      </w:r>
      <w:proofErr w:type="spellEnd"/>
      <w:r>
        <w:rPr>
          <w:rFonts w:ascii="Arial" w:hAnsi="Arial" w:cs="Arial"/>
          <w:i/>
          <w:sz w:val="20"/>
          <w:lang w:val="es-ES"/>
        </w:rPr>
        <w:t xml:space="preserve"> y </w:t>
      </w:r>
      <w:proofErr w:type="spellStart"/>
      <w:r>
        <w:rPr>
          <w:rFonts w:ascii="Arial" w:hAnsi="Arial" w:cs="Arial"/>
          <w:i/>
          <w:sz w:val="20"/>
          <w:lang w:val="es-ES"/>
        </w:rPr>
        <w:t>Mammillaria</w:t>
      </w:r>
      <w:proofErr w:type="spellEnd"/>
      <w:r>
        <w:rPr>
          <w:rFonts w:ascii="Arial" w:hAnsi="Arial" w:cs="Arial"/>
          <w:i/>
          <w:sz w:val="20"/>
          <w:lang w:val="es-ES"/>
        </w:rPr>
        <w:t xml:space="preserve"> </w:t>
      </w:r>
      <w:proofErr w:type="spellStart"/>
      <w:r>
        <w:rPr>
          <w:rFonts w:ascii="Arial" w:hAnsi="Arial" w:cs="Arial"/>
          <w:i/>
          <w:sz w:val="20"/>
          <w:lang w:val="es-ES"/>
        </w:rPr>
        <w:t>uncinata</w:t>
      </w:r>
      <w:proofErr w:type="spellEnd"/>
      <w:r>
        <w:rPr>
          <w:rFonts w:ascii="Arial" w:hAnsi="Arial" w:cs="Arial"/>
          <w:i/>
          <w:sz w:val="20"/>
          <w:lang w:val="es-ES"/>
        </w:rPr>
        <w:t xml:space="preserve"> </w:t>
      </w:r>
      <w:r w:rsidRPr="0055232B">
        <w:rPr>
          <w:rFonts w:ascii="Arial" w:hAnsi="Arial" w:cs="Arial"/>
          <w:sz w:val="20"/>
          <w:lang w:val="es-ES"/>
        </w:rPr>
        <w:t xml:space="preserve">tienen la misma </w:t>
      </w:r>
      <w:r>
        <w:rPr>
          <w:rFonts w:ascii="Arial" w:hAnsi="Arial" w:cs="Arial"/>
          <w:sz w:val="20"/>
          <w:lang w:val="es-ES"/>
        </w:rPr>
        <w:t>cantidad de semillas (Cuadro 1).</w:t>
      </w:r>
    </w:p>
    <w:p w:rsidR="0055232B" w:rsidRDefault="0055232B" w:rsidP="00BA3839">
      <w:pPr>
        <w:jc w:val="both"/>
        <w:rPr>
          <w:rFonts w:ascii="Arial" w:hAnsi="Arial" w:cs="Arial"/>
          <w:sz w:val="20"/>
          <w:lang w:val="es-ES"/>
        </w:rPr>
      </w:pPr>
      <w:r>
        <w:rPr>
          <w:rFonts w:ascii="Arial" w:hAnsi="Arial" w:cs="Arial"/>
          <w:sz w:val="20"/>
          <w:lang w:val="es-ES"/>
        </w:rPr>
        <w:t>Cuadr</w:t>
      </w:r>
      <w:r w:rsidR="00586598">
        <w:rPr>
          <w:rFonts w:ascii="Arial" w:hAnsi="Arial" w:cs="Arial"/>
          <w:sz w:val="20"/>
          <w:lang w:val="es-ES"/>
        </w:rPr>
        <w:t>o 1. Cactáceas colectadas en Sierra de lobos y Xichú</w:t>
      </w:r>
    </w:p>
    <w:tbl>
      <w:tblPr>
        <w:tblW w:w="6894" w:type="dxa"/>
        <w:tblInd w:w="55" w:type="dxa"/>
        <w:tblCellMar>
          <w:left w:w="70" w:type="dxa"/>
          <w:right w:w="70" w:type="dxa"/>
        </w:tblCellMar>
        <w:tblLook w:val="04A0" w:firstRow="1" w:lastRow="0" w:firstColumn="1" w:lastColumn="0" w:noHBand="0" w:noVBand="1"/>
      </w:tblPr>
      <w:tblGrid>
        <w:gridCol w:w="2014"/>
        <w:gridCol w:w="2040"/>
        <w:gridCol w:w="1640"/>
        <w:gridCol w:w="1200"/>
      </w:tblGrid>
      <w:tr w:rsidR="0055232B" w:rsidRPr="0055232B" w:rsidTr="0055232B">
        <w:trPr>
          <w:trHeight w:val="300"/>
        </w:trPr>
        <w:tc>
          <w:tcPr>
            <w:tcW w:w="2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Nombre científico</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Semillas  colectadas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Semillas viables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No viables</w:t>
            </w:r>
          </w:p>
        </w:tc>
      </w:tr>
      <w:tr w:rsidR="0055232B" w:rsidRPr="0055232B" w:rsidTr="0055232B">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rPr>
                <w:rFonts w:ascii="Calibri" w:eastAsia="Times New Roman" w:hAnsi="Calibri" w:cs="Times New Roman"/>
                <w:i/>
                <w:iCs/>
                <w:color w:val="000000"/>
                <w:lang w:eastAsia="es-MX"/>
              </w:rPr>
            </w:pPr>
            <w:proofErr w:type="spellStart"/>
            <w:r w:rsidRPr="0055232B">
              <w:rPr>
                <w:rFonts w:ascii="Calibri" w:eastAsia="Times New Roman" w:hAnsi="Calibri" w:cs="Times New Roman"/>
                <w:i/>
                <w:iCs/>
                <w:color w:val="000000"/>
                <w:lang w:eastAsia="es-MX"/>
              </w:rPr>
              <w:t>Stenocereus</w:t>
            </w:r>
            <w:proofErr w:type="spellEnd"/>
            <w:r w:rsidRPr="0055232B">
              <w:rPr>
                <w:rFonts w:ascii="Calibri" w:eastAsia="Times New Roman" w:hAnsi="Calibri" w:cs="Times New Roman"/>
                <w:i/>
                <w:iCs/>
                <w:color w:val="000000"/>
                <w:lang w:eastAsia="es-MX"/>
              </w:rPr>
              <w:t xml:space="preserve"> p.</w:t>
            </w:r>
          </w:p>
        </w:tc>
        <w:tc>
          <w:tcPr>
            <w:tcW w:w="204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i/>
                <w:iCs/>
                <w:color w:val="000000"/>
                <w:lang w:eastAsia="es-MX"/>
              </w:rPr>
            </w:pPr>
            <w:r w:rsidRPr="0055232B">
              <w:rPr>
                <w:rFonts w:ascii="Calibri" w:eastAsia="Times New Roman" w:hAnsi="Calibri" w:cs="Times New Roman"/>
                <w:i/>
                <w:iCs/>
                <w:color w:val="000000"/>
                <w:lang w:eastAsia="es-MX"/>
              </w:rPr>
              <w:t>14</w:t>
            </w:r>
          </w:p>
        </w:tc>
        <w:tc>
          <w:tcPr>
            <w:tcW w:w="164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13</w:t>
            </w:r>
          </w:p>
        </w:tc>
        <w:tc>
          <w:tcPr>
            <w:tcW w:w="120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1</w:t>
            </w:r>
          </w:p>
        </w:tc>
      </w:tr>
      <w:tr w:rsidR="0055232B" w:rsidRPr="0055232B" w:rsidTr="0055232B">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rPr>
                <w:rFonts w:ascii="Calibri" w:eastAsia="Times New Roman" w:hAnsi="Calibri" w:cs="Times New Roman"/>
                <w:i/>
                <w:iCs/>
                <w:color w:val="000000"/>
                <w:lang w:eastAsia="es-MX"/>
              </w:rPr>
            </w:pPr>
            <w:proofErr w:type="spellStart"/>
            <w:r w:rsidRPr="0055232B">
              <w:rPr>
                <w:rFonts w:ascii="Calibri" w:eastAsia="Times New Roman" w:hAnsi="Calibri" w:cs="Times New Roman"/>
                <w:i/>
                <w:iCs/>
                <w:color w:val="000000"/>
                <w:lang w:eastAsia="es-MX"/>
              </w:rPr>
              <w:t>Mammillaria</w:t>
            </w:r>
            <w:proofErr w:type="spellEnd"/>
            <w:r w:rsidRPr="0055232B">
              <w:rPr>
                <w:rFonts w:ascii="Calibri" w:eastAsia="Times New Roman" w:hAnsi="Calibri" w:cs="Times New Roman"/>
                <w:i/>
                <w:iCs/>
                <w:color w:val="000000"/>
                <w:lang w:eastAsia="es-MX"/>
              </w:rPr>
              <w:t xml:space="preserve"> </w:t>
            </w:r>
            <w:proofErr w:type="spellStart"/>
            <w:r w:rsidRPr="0055232B">
              <w:rPr>
                <w:rFonts w:ascii="Calibri" w:eastAsia="Times New Roman" w:hAnsi="Calibri" w:cs="Times New Roman"/>
                <w:i/>
                <w:iCs/>
                <w:color w:val="000000"/>
                <w:lang w:eastAsia="es-MX"/>
              </w:rPr>
              <w:t>uncinata</w:t>
            </w:r>
            <w:proofErr w:type="spellEnd"/>
          </w:p>
        </w:tc>
        <w:tc>
          <w:tcPr>
            <w:tcW w:w="204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i/>
                <w:iCs/>
                <w:color w:val="000000"/>
                <w:lang w:eastAsia="es-MX"/>
              </w:rPr>
            </w:pPr>
            <w:r w:rsidRPr="0055232B">
              <w:rPr>
                <w:rFonts w:ascii="Calibri" w:eastAsia="Times New Roman" w:hAnsi="Calibri" w:cs="Times New Roman"/>
                <w:i/>
                <w:iCs/>
                <w:color w:val="000000"/>
                <w:lang w:eastAsia="es-MX"/>
              </w:rPr>
              <w:t>47</w:t>
            </w:r>
          </w:p>
        </w:tc>
        <w:tc>
          <w:tcPr>
            <w:tcW w:w="164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22</w:t>
            </w:r>
          </w:p>
        </w:tc>
        <w:tc>
          <w:tcPr>
            <w:tcW w:w="120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25</w:t>
            </w:r>
          </w:p>
        </w:tc>
      </w:tr>
      <w:tr w:rsidR="0055232B" w:rsidRPr="0055232B" w:rsidTr="0055232B">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rPr>
                <w:rFonts w:ascii="Calibri" w:eastAsia="Times New Roman" w:hAnsi="Calibri" w:cs="Times New Roman"/>
                <w:i/>
                <w:iCs/>
                <w:color w:val="000000"/>
                <w:lang w:eastAsia="es-MX"/>
              </w:rPr>
            </w:pPr>
            <w:proofErr w:type="spellStart"/>
            <w:r w:rsidRPr="0055232B">
              <w:rPr>
                <w:rFonts w:ascii="Calibri" w:eastAsia="Times New Roman" w:hAnsi="Calibri" w:cs="Times New Roman"/>
                <w:i/>
                <w:iCs/>
                <w:color w:val="000000"/>
                <w:lang w:eastAsia="es-MX"/>
              </w:rPr>
              <w:t>Mamillaria</w:t>
            </w:r>
            <w:proofErr w:type="spellEnd"/>
            <w:r w:rsidRPr="0055232B">
              <w:rPr>
                <w:rFonts w:ascii="Calibri" w:eastAsia="Times New Roman" w:hAnsi="Calibri" w:cs="Times New Roman"/>
                <w:i/>
                <w:iCs/>
                <w:color w:val="000000"/>
                <w:lang w:eastAsia="es-MX"/>
              </w:rPr>
              <w:t xml:space="preserve"> </w:t>
            </w:r>
            <w:proofErr w:type="spellStart"/>
            <w:r w:rsidRPr="0055232B">
              <w:rPr>
                <w:rFonts w:ascii="Calibri" w:eastAsia="Times New Roman" w:hAnsi="Calibri" w:cs="Times New Roman"/>
                <w:i/>
                <w:iCs/>
                <w:color w:val="000000"/>
                <w:lang w:eastAsia="es-MX"/>
              </w:rPr>
              <w:t>densispina</w:t>
            </w:r>
            <w:proofErr w:type="spellEnd"/>
          </w:p>
        </w:tc>
        <w:tc>
          <w:tcPr>
            <w:tcW w:w="204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i/>
                <w:iCs/>
                <w:color w:val="000000"/>
                <w:lang w:eastAsia="es-MX"/>
              </w:rPr>
            </w:pPr>
            <w:r w:rsidRPr="0055232B">
              <w:rPr>
                <w:rFonts w:ascii="Calibri" w:eastAsia="Times New Roman" w:hAnsi="Calibri" w:cs="Times New Roman"/>
                <w:i/>
                <w:iCs/>
                <w:color w:val="000000"/>
                <w:lang w:eastAsia="es-MX"/>
              </w:rPr>
              <w:t>47</w:t>
            </w:r>
          </w:p>
        </w:tc>
        <w:tc>
          <w:tcPr>
            <w:tcW w:w="164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22</w:t>
            </w:r>
          </w:p>
        </w:tc>
        <w:tc>
          <w:tcPr>
            <w:tcW w:w="120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25</w:t>
            </w:r>
          </w:p>
        </w:tc>
      </w:tr>
      <w:tr w:rsidR="0055232B" w:rsidRPr="0055232B" w:rsidTr="0055232B">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rPr>
                <w:rFonts w:ascii="Calibri" w:eastAsia="Times New Roman" w:hAnsi="Calibri" w:cs="Times New Roman"/>
                <w:i/>
                <w:iCs/>
                <w:color w:val="000000"/>
                <w:lang w:eastAsia="es-MX"/>
              </w:rPr>
            </w:pPr>
            <w:proofErr w:type="spellStart"/>
            <w:r w:rsidRPr="0055232B">
              <w:rPr>
                <w:rFonts w:ascii="Calibri" w:eastAsia="Times New Roman" w:hAnsi="Calibri" w:cs="Times New Roman"/>
                <w:i/>
                <w:iCs/>
                <w:color w:val="000000"/>
                <w:lang w:eastAsia="es-MX"/>
              </w:rPr>
              <w:t>Stenocactus</w:t>
            </w:r>
            <w:proofErr w:type="spellEnd"/>
            <w:r w:rsidRPr="0055232B">
              <w:rPr>
                <w:rFonts w:ascii="Calibri" w:eastAsia="Times New Roman" w:hAnsi="Calibri" w:cs="Times New Roman"/>
                <w:i/>
                <w:iCs/>
                <w:color w:val="000000"/>
                <w:lang w:eastAsia="es-MX"/>
              </w:rPr>
              <w:t xml:space="preserve"> </w:t>
            </w:r>
            <w:proofErr w:type="spellStart"/>
            <w:r w:rsidRPr="0055232B">
              <w:rPr>
                <w:rFonts w:ascii="Calibri" w:eastAsia="Times New Roman" w:hAnsi="Calibri" w:cs="Times New Roman"/>
                <w:i/>
                <w:iCs/>
                <w:color w:val="000000"/>
                <w:lang w:eastAsia="es-MX"/>
              </w:rPr>
              <w:t>sp</w:t>
            </w:r>
            <w:proofErr w:type="spellEnd"/>
            <w:r w:rsidRPr="0055232B">
              <w:rPr>
                <w:rFonts w:ascii="Calibri" w:eastAsia="Times New Roman" w:hAnsi="Calibri" w:cs="Times New Roman"/>
                <w:i/>
                <w:iCs/>
                <w:color w:val="000000"/>
                <w:lang w:eastAsia="es-MX"/>
              </w:rPr>
              <w:t>.</w:t>
            </w:r>
          </w:p>
        </w:tc>
        <w:tc>
          <w:tcPr>
            <w:tcW w:w="204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i/>
                <w:iCs/>
                <w:color w:val="000000"/>
                <w:lang w:eastAsia="es-MX"/>
              </w:rPr>
            </w:pPr>
            <w:r w:rsidRPr="0055232B">
              <w:rPr>
                <w:rFonts w:ascii="Calibri" w:eastAsia="Times New Roman" w:hAnsi="Calibri" w:cs="Times New Roman"/>
                <w:i/>
                <w:iCs/>
                <w:color w:val="000000"/>
                <w:lang w:eastAsia="es-MX"/>
              </w:rPr>
              <w:t>1180</w:t>
            </w:r>
          </w:p>
        </w:tc>
        <w:tc>
          <w:tcPr>
            <w:tcW w:w="164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1079</w:t>
            </w:r>
          </w:p>
        </w:tc>
        <w:tc>
          <w:tcPr>
            <w:tcW w:w="1200" w:type="dxa"/>
            <w:tcBorders>
              <w:top w:val="nil"/>
              <w:left w:val="nil"/>
              <w:bottom w:val="single" w:sz="4" w:space="0" w:color="auto"/>
              <w:right w:val="single" w:sz="4" w:space="0" w:color="auto"/>
            </w:tcBorders>
            <w:shd w:val="clear" w:color="auto" w:fill="auto"/>
            <w:noWrap/>
            <w:vAlign w:val="bottom"/>
            <w:hideMark/>
          </w:tcPr>
          <w:p w:rsidR="0055232B" w:rsidRPr="0055232B" w:rsidRDefault="0055232B" w:rsidP="0055232B">
            <w:pPr>
              <w:spacing w:after="0" w:line="240" w:lineRule="auto"/>
              <w:jc w:val="right"/>
              <w:rPr>
                <w:rFonts w:ascii="Calibri" w:eastAsia="Times New Roman" w:hAnsi="Calibri" w:cs="Times New Roman"/>
                <w:color w:val="000000"/>
                <w:lang w:eastAsia="es-MX"/>
              </w:rPr>
            </w:pPr>
            <w:r w:rsidRPr="0055232B">
              <w:rPr>
                <w:rFonts w:ascii="Calibri" w:eastAsia="Times New Roman" w:hAnsi="Calibri" w:cs="Times New Roman"/>
                <w:color w:val="000000"/>
                <w:lang w:eastAsia="es-MX"/>
              </w:rPr>
              <w:t>10</w:t>
            </w:r>
          </w:p>
        </w:tc>
      </w:tr>
    </w:tbl>
    <w:p w:rsidR="0055232B" w:rsidRDefault="0055232B" w:rsidP="00BA3839">
      <w:pPr>
        <w:jc w:val="both"/>
        <w:rPr>
          <w:rFonts w:ascii="Arial" w:hAnsi="Arial" w:cs="Arial"/>
          <w:sz w:val="20"/>
          <w:lang w:val="es-ES"/>
        </w:rPr>
      </w:pPr>
    </w:p>
    <w:p w:rsidR="00586598" w:rsidRDefault="00586598" w:rsidP="00BA3839">
      <w:pPr>
        <w:jc w:val="both"/>
        <w:rPr>
          <w:rFonts w:ascii="Arial" w:hAnsi="Arial" w:cs="Arial"/>
          <w:sz w:val="20"/>
          <w:lang w:val="es-ES"/>
        </w:rPr>
      </w:pPr>
      <w:r>
        <w:rPr>
          <w:rFonts w:ascii="Arial" w:hAnsi="Arial" w:cs="Arial"/>
          <w:sz w:val="20"/>
          <w:lang w:val="es-ES"/>
        </w:rPr>
        <w:t>Grafica 1. Viabilidad de las  semillas</w:t>
      </w:r>
    </w:p>
    <w:p w:rsidR="00586598" w:rsidRDefault="00586598" w:rsidP="00BA3839">
      <w:pPr>
        <w:jc w:val="both"/>
        <w:rPr>
          <w:rFonts w:ascii="Arial" w:hAnsi="Arial" w:cs="Arial"/>
          <w:sz w:val="20"/>
          <w:lang w:val="es-ES"/>
        </w:rPr>
      </w:pPr>
      <w:r>
        <w:rPr>
          <w:noProof/>
          <w:lang w:eastAsia="es-MX"/>
        </w:rPr>
        <w:drawing>
          <wp:inline distT="0" distB="0" distL="0" distR="0" wp14:anchorId="104693ED" wp14:editId="33B2B436">
            <wp:extent cx="4883285" cy="2451371"/>
            <wp:effectExtent l="0" t="0" r="12700" b="254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86598" w:rsidRDefault="00586598" w:rsidP="00BA3839">
      <w:pPr>
        <w:jc w:val="both"/>
        <w:rPr>
          <w:rFonts w:ascii="Arial" w:hAnsi="Arial" w:cs="Arial"/>
          <w:sz w:val="20"/>
          <w:szCs w:val="20"/>
        </w:rPr>
      </w:pPr>
    </w:p>
    <w:p w:rsidR="00586598" w:rsidRDefault="00586598" w:rsidP="00BA3839">
      <w:pPr>
        <w:jc w:val="both"/>
        <w:rPr>
          <w:rFonts w:ascii="Arial" w:hAnsi="Arial" w:cs="Arial"/>
          <w:sz w:val="20"/>
          <w:szCs w:val="20"/>
        </w:rPr>
      </w:pPr>
    </w:p>
    <w:p w:rsidR="007D5021" w:rsidRDefault="007D5021" w:rsidP="00BA3839">
      <w:pPr>
        <w:jc w:val="both"/>
        <w:rPr>
          <w:rFonts w:ascii="Arial" w:hAnsi="Arial" w:cs="Arial"/>
          <w:sz w:val="20"/>
          <w:szCs w:val="20"/>
        </w:rPr>
      </w:pPr>
      <w:r w:rsidRPr="00116814">
        <w:rPr>
          <w:rFonts w:ascii="Arial" w:hAnsi="Arial" w:cs="Arial"/>
          <w:sz w:val="20"/>
          <w:szCs w:val="20"/>
        </w:rPr>
        <w:t>CONCLUSIONES:</w:t>
      </w:r>
    </w:p>
    <w:p w:rsidR="00586598" w:rsidRPr="00586598" w:rsidRDefault="00586598" w:rsidP="00BA3839">
      <w:pPr>
        <w:jc w:val="both"/>
        <w:rPr>
          <w:rFonts w:ascii="Arial" w:hAnsi="Arial" w:cs="Arial"/>
          <w:sz w:val="20"/>
          <w:szCs w:val="20"/>
        </w:rPr>
      </w:pPr>
      <w:r>
        <w:rPr>
          <w:rFonts w:ascii="Arial" w:hAnsi="Arial" w:cs="Arial"/>
          <w:sz w:val="20"/>
          <w:szCs w:val="20"/>
        </w:rPr>
        <w:t xml:space="preserve">Se propone la germinación </w:t>
      </w:r>
      <w:r>
        <w:rPr>
          <w:rFonts w:ascii="Arial" w:hAnsi="Arial" w:cs="Arial"/>
          <w:i/>
          <w:sz w:val="20"/>
          <w:szCs w:val="20"/>
        </w:rPr>
        <w:t xml:space="preserve">in vitro </w:t>
      </w:r>
      <w:r>
        <w:rPr>
          <w:rFonts w:ascii="Arial" w:hAnsi="Arial" w:cs="Arial"/>
          <w:sz w:val="20"/>
          <w:szCs w:val="20"/>
        </w:rPr>
        <w:t xml:space="preserve"> de semillas de cactáceas como una alternativa para la conservación de su variabilidad genética, representando  un apoyo en la problemática de la  </w:t>
      </w:r>
      <w:r w:rsidR="00E86A61">
        <w:rPr>
          <w:rFonts w:ascii="Arial" w:hAnsi="Arial" w:cs="Arial"/>
          <w:sz w:val="20"/>
          <w:szCs w:val="20"/>
        </w:rPr>
        <w:t>conservación de especies; ofreciendo una ventaja para el aprovechamiento sostenible y producción, evitando su depredación y extinción.</w:t>
      </w:r>
      <w:r>
        <w:rPr>
          <w:rFonts w:ascii="Arial" w:hAnsi="Arial" w:cs="Arial"/>
          <w:sz w:val="20"/>
          <w:szCs w:val="20"/>
        </w:rPr>
        <w:t xml:space="preserve"> </w:t>
      </w:r>
    </w:p>
    <w:p w:rsidR="002D18A6" w:rsidRDefault="002D18A6" w:rsidP="00BA3839">
      <w:pPr>
        <w:jc w:val="both"/>
        <w:rPr>
          <w:rFonts w:ascii="Arial" w:hAnsi="Arial" w:cs="Arial"/>
          <w:sz w:val="20"/>
          <w:szCs w:val="20"/>
        </w:rPr>
      </w:pPr>
      <w:r>
        <w:rPr>
          <w:rFonts w:ascii="Arial" w:hAnsi="Arial" w:cs="Arial"/>
          <w:sz w:val="20"/>
          <w:szCs w:val="20"/>
        </w:rPr>
        <w:t>BIBLIOGRAFÍA:</w:t>
      </w:r>
    </w:p>
    <w:p w:rsidR="00354FD2" w:rsidRPr="006E2D12" w:rsidRDefault="00354FD2" w:rsidP="00354FD2">
      <w:pPr>
        <w:jc w:val="both"/>
        <w:rPr>
          <w:rFonts w:ascii="Arial" w:hAnsi="Arial" w:cs="Arial"/>
          <w:sz w:val="20"/>
          <w:szCs w:val="20"/>
        </w:rPr>
      </w:pPr>
      <w:r w:rsidRPr="006E2D12">
        <w:rPr>
          <w:rFonts w:ascii="Arial" w:hAnsi="Arial" w:cs="Arial"/>
          <w:sz w:val="20"/>
          <w:szCs w:val="20"/>
        </w:rPr>
        <w:t xml:space="preserve">Amador, Alférez Karina A.,  Josefina Díaz-González, Sofía Loza Cornejo y </w:t>
      </w:r>
      <w:proofErr w:type="spellStart"/>
      <w:r w:rsidRPr="006E2D12">
        <w:rPr>
          <w:rFonts w:ascii="Arial" w:hAnsi="Arial" w:cs="Arial"/>
          <w:sz w:val="20"/>
          <w:szCs w:val="20"/>
        </w:rPr>
        <w:t>Egla</w:t>
      </w:r>
      <w:proofErr w:type="spellEnd"/>
      <w:r w:rsidRPr="006E2D12">
        <w:rPr>
          <w:rFonts w:ascii="Arial" w:hAnsi="Arial" w:cs="Arial"/>
          <w:sz w:val="20"/>
          <w:szCs w:val="20"/>
        </w:rPr>
        <w:t xml:space="preserve"> </w:t>
      </w:r>
      <w:proofErr w:type="spellStart"/>
      <w:r w:rsidRPr="006E2D12">
        <w:rPr>
          <w:rFonts w:ascii="Arial" w:hAnsi="Arial" w:cs="Arial"/>
          <w:sz w:val="20"/>
          <w:szCs w:val="20"/>
        </w:rPr>
        <w:t>Bivián</w:t>
      </w:r>
      <w:proofErr w:type="spellEnd"/>
      <w:r w:rsidRPr="006E2D12">
        <w:rPr>
          <w:rFonts w:ascii="Arial" w:hAnsi="Arial" w:cs="Arial"/>
          <w:sz w:val="20"/>
          <w:szCs w:val="20"/>
        </w:rPr>
        <w:t xml:space="preserve">-Castro, 2013. Efecto de diferentes reguladores de crecimiento vegetal sobre la </w:t>
      </w:r>
      <w:proofErr w:type="spellStart"/>
      <w:r w:rsidRPr="006E2D12">
        <w:rPr>
          <w:rFonts w:ascii="Arial" w:hAnsi="Arial" w:cs="Arial"/>
          <w:sz w:val="20"/>
          <w:szCs w:val="20"/>
        </w:rPr>
        <w:t>germinacion</w:t>
      </w:r>
      <w:proofErr w:type="spellEnd"/>
      <w:r w:rsidRPr="006E2D12">
        <w:rPr>
          <w:rFonts w:ascii="Arial" w:hAnsi="Arial" w:cs="Arial"/>
          <w:sz w:val="20"/>
          <w:szCs w:val="20"/>
        </w:rPr>
        <w:t xml:space="preserve"> de semillas y desarrollo de plántulas de dos especies de </w:t>
      </w:r>
      <w:proofErr w:type="spellStart"/>
      <w:r w:rsidRPr="006E2D12">
        <w:rPr>
          <w:rFonts w:ascii="Arial" w:hAnsi="Arial" w:cs="Arial"/>
          <w:sz w:val="20"/>
          <w:szCs w:val="20"/>
        </w:rPr>
        <w:t>Ferocactus</w:t>
      </w:r>
      <w:proofErr w:type="spellEnd"/>
      <w:r w:rsidRPr="006E2D12">
        <w:rPr>
          <w:rFonts w:ascii="Arial" w:hAnsi="Arial" w:cs="Arial"/>
          <w:sz w:val="20"/>
          <w:szCs w:val="20"/>
        </w:rPr>
        <w:t xml:space="preserve">. </w:t>
      </w:r>
      <w:proofErr w:type="spellStart"/>
      <w:r w:rsidRPr="006E2D12">
        <w:rPr>
          <w:rFonts w:ascii="Arial" w:hAnsi="Arial" w:cs="Arial"/>
          <w:sz w:val="20"/>
          <w:szCs w:val="20"/>
        </w:rPr>
        <w:t>Polibotánica</w:t>
      </w:r>
      <w:proofErr w:type="spellEnd"/>
      <w:r w:rsidRPr="006E2D12">
        <w:rPr>
          <w:rFonts w:ascii="Arial" w:hAnsi="Arial" w:cs="Arial"/>
          <w:sz w:val="20"/>
          <w:szCs w:val="20"/>
        </w:rPr>
        <w:t xml:space="preserve">. </w:t>
      </w:r>
      <w:proofErr w:type="spellStart"/>
      <w:r w:rsidRPr="006E2D12">
        <w:rPr>
          <w:rFonts w:ascii="Arial" w:hAnsi="Arial" w:cs="Arial"/>
          <w:sz w:val="20"/>
          <w:szCs w:val="20"/>
        </w:rPr>
        <w:t>Num</w:t>
      </w:r>
      <w:proofErr w:type="spellEnd"/>
      <w:r w:rsidRPr="006E2D12">
        <w:rPr>
          <w:rFonts w:ascii="Arial" w:hAnsi="Arial" w:cs="Arial"/>
          <w:sz w:val="20"/>
          <w:szCs w:val="20"/>
        </w:rPr>
        <w:t>. 35 pp. 109 -131.</w:t>
      </w:r>
    </w:p>
    <w:p w:rsidR="00354FD2" w:rsidRPr="006E2D12" w:rsidRDefault="00354FD2" w:rsidP="00354FD2">
      <w:pPr>
        <w:jc w:val="both"/>
        <w:rPr>
          <w:rFonts w:ascii="Arial" w:hAnsi="Arial" w:cs="Arial"/>
          <w:sz w:val="20"/>
          <w:szCs w:val="20"/>
          <w:lang w:val="es-ES"/>
        </w:rPr>
      </w:pPr>
      <w:r w:rsidRPr="006E2D12">
        <w:rPr>
          <w:rFonts w:ascii="Arial" w:hAnsi="Arial" w:cs="Arial"/>
          <w:sz w:val="20"/>
          <w:szCs w:val="20"/>
          <w:lang w:val="es-ES"/>
        </w:rPr>
        <w:t xml:space="preserve">Bravo </w:t>
      </w:r>
      <w:proofErr w:type="spellStart"/>
      <w:r w:rsidRPr="006E2D12">
        <w:rPr>
          <w:rFonts w:ascii="Arial" w:hAnsi="Arial" w:cs="Arial"/>
          <w:sz w:val="20"/>
          <w:szCs w:val="20"/>
          <w:lang w:val="es-ES"/>
        </w:rPr>
        <w:t>Hollis</w:t>
      </w:r>
      <w:proofErr w:type="spellEnd"/>
      <w:r w:rsidRPr="006E2D12">
        <w:rPr>
          <w:rFonts w:ascii="Arial" w:hAnsi="Arial" w:cs="Arial"/>
          <w:sz w:val="20"/>
          <w:szCs w:val="20"/>
          <w:lang w:val="es-ES"/>
        </w:rPr>
        <w:t xml:space="preserve"> H, y Sánchez Mejorada, H.1991.Las cactáceas de México vol. 1.UNAM, México.</w:t>
      </w:r>
    </w:p>
    <w:p w:rsidR="006E2D12" w:rsidRPr="006E2D12" w:rsidRDefault="006E2D12" w:rsidP="006E2D12">
      <w:pPr>
        <w:jc w:val="both"/>
        <w:rPr>
          <w:rFonts w:ascii="Arial" w:hAnsi="Arial" w:cs="Arial"/>
          <w:sz w:val="20"/>
          <w:szCs w:val="20"/>
          <w:lang w:val="es-ES"/>
        </w:rPr>
      </w:pPr>
      <w:r w:rsidRPr="006E2D12">
        <w:rPr>
          <w:rFonts w:ascii="Arial" w:hAnsi="Arial" w:cs="Arial"/>
          <w:sz w:val="20"/>
          <w:szCs w:val="20"/>
          <w:lang w:val="es-ES"/>
        </w:rPr>
        <w:t xml:space="preserve">Calva </w:t>
      </w:r>
      <w:proofErr w:type="spellStart"/>
      <w:r w:rsidRPr="006E2D12">
        <w:rPr>
          <w:rFonts w:ascii="Arial" w:hAnsi="Arial" w:cs="Arial"/>
          <w:sz w:val="20"/>
          <w:szCs w:val="20"/>
          <w:lang w:val="es-ES"/>
        </w:rPr>
        <w:t>Calva</w:t>
      </w:r>
      <w:proofErr w:type="spellEnd"/>
      <w:r w:rsidRPr="006E2D12">
        <w:rPr>
          <w:rFonts w:ascii="Arial" w:hAnsi="Arial" w:cs="Arial"/>
          <w:sz w:val="20"/>
          <w:szCs w:val="20"/>
          <w:lang w:val="es-ES"/>
        </w:rPr>
        <w:t xml:space="preserve"> Graciano. </w:t>
      </w:r>
      <w:proofErr w:type="gramStart"/>
      <w:r w:rsidRPr="006E2D12">
        <w:rPr>
          <w:rFonts w:ascii="Arial" w:hAnsi="Arial" w:cs="Arial"/>
          <w:sz w:val="20"/>
          <w:szCs w:val="20"/>
          <w:lang w:val="es-ES"/>
        </w:rPr>
        <w:t>y</w:t>
      </w:r>
      <w:proofErr w:type="gramEnd"/>
      <w:r w:rsidRPr="006E2D12">
        <w:rPr>
          <w:rFonts w:ascii="Arial" w:hAnsi="Arial" w:cs="Arial"/>
          <w:sz w:val="20"/>
          <w:szCs w:val="20"/>
          <w:lang w:val="es-ES"/>
        </w:rPr>
        <w:t xml:space="preserve"> J. Pérez.2005. Cultivo de  células y tejidos vegetales: Fuente de alimento  para el futuro. Revista digital universitaria. Vol. 6 </w:t>
      </w:r>
      <w:proofErr w:type="spellStart"/>
      <w:r w:rsidRPr="006E2D12">
        <w:rPr>
          <w:rFonts w:ascii="Arial" w:hAnsi="Arial" w:cs="Arial"/>
          <w:sz w:val="20"/>
          <w:szCs w:val="20"/>
          <w:lang w:val="es-ES"/>
        </w:rPr>
        <w:t>num</w:t>
      </w:r>
      <w:proofErr w:type="spellEnd"/>
      <w:r w:rsidRPr="006E2D12">
        <w:rPr>
          <w:rFonts w:ascii="Arial" w:hAnsi="Arial" w:cs="Arial"/>
          <w:sz w:val="20"/>
          <w:szCs w:val="20"/>
          <w:lang w:val="es-ES"/>
        </w:rPr>
        <w:t>. 11. ISSN</w:t>
      </w:r>
      <w:proofErr w:type="gramStart"/>
      <w:r w:rsidRPr="006E2D12">
        <w:rPr>
          <w:rFonts w:ascii="Arial" w:hAnsi="Arial" w:cs="Arial"/>
          <w:sz w:val="20"/>
          <w:szCs w:val="20"/>
          <w:lang w:val="es-ES"/>
        </w:rPr>
        <w:t>:1067</w:t>
      </w:r>
      <w:proofErr w:type="gramEnd"/>
      <w:r w:rsidRPr="006E2D12">
        <w:rPr>
          <w:rFonts w:ascii="Arial" w:hAnsi="Arial" w:cs="Arial"/>
          <w:sz w:val="20"/>
          <w:szCs w:val="20"/>
          <w:lang w:val="es-ES"/>
        </w:rPr>
        <w:t>-6079.</w:t>
      </w:r>
    </w:p>
    <w:p w:rsidR="00354FD2" w:rsidRDefault="00354FD2" w:rsidP="00354FD2">
      <w:pPr>
        <w:jc w:val="both"/>
        <w:rPr>
          <w:rFonts w:ascii="Arial" w:hAnsi="Arial" w:cs="Arial"/>
          <w:sz w:val="20"/>
          <w:szCs w:val="20"/>
          <w:lang w:val="es-ES"/>
        </w:rPr>
      </w:pPr>
      <w:r w:rsidRPr="006E2D12">
        <w:rPr>
          <w:rFonts w:ascii="Arial" w:hAnsi="Arial" w:cs="Arial"/>
          <w:sz w:val="20"/>
          <w:szCs w:val="20"/>
          <w:lang w:val="es-ES"/>
        </w:rPr>
        <w:t xml:space="preserve">Castillo </w:t>
      </w:r>
      <w:proofErr w:type="spellStart"/>
      <w:r w:rsidRPr="006E2D12">
        <w:rPr>
          <w:rFonts w:ascii="Arial" w:hAnsi="Arial" w:cs="Arial"/>
          <w:sz w:val="20"/>
          <w:szCs w:val="20"/>
          <w:lang w:val="es-ES"/>
        </w:rPr>
        <w:t>Campohermoso</w:t>
      </w:r>
      <w:proofErr w:type="spellEnd"/>
      <w:r w:rsidRPr="006E2D12">
        <w:rPr>
          <w:rFonts w:ascii="Arial" w:hAnsi="Arial" w:cs="Arial"/>
          <w:sz w:val="20"/>
          <w:szCs w:val="20"/>
          <w:lang w:val="es-ES"/>
        </w:rPr>
        <w:t xml:space="preserve"> A., López Espinosa A., Ocampo Fletes I. 2010. Conocimiento y uso  de las cactáceas por familias campesinas en </w:t>
      </w:r>
      <w:proofErr w:type="spellStart"/>
      <w:r w:rsidRPr="006E2D12">
        <w:rPr>
          <w:rFonts w:ascii="Arial" w:hAnsi="Arial" w:cs="Arial"/>
          <w:sz w:val="20"/>
          <w:szCs w:val="20"/>
          <w:lang w:val="es-ES"/>
        </w:rPr>
        <w:t>Coxcatlán</w:t>
      </w:r>
      <w:proofErr w:type="spellEnd"/>
      <w:r w:rsidRPr="006E2D12">
        <w:rPr>
          <w:rFonts w:ascii="Arial" w:hAnsi="Arial" w:cs="Arial"/>
          <w:sz w:val="20"/>
          <w:szCs w:val="20"/>
          <w:lang w:val="es-ES"/>
        </w:rPr>
        <w:t xml:space="preserve">, Puebla. Ra </w:t>
      </w:r>
      <w:proofErr w:type="spellStart"/>
      <w:r w:rsidRPr="006E2D12">
        <w:rPr>
          <w:rFonts w:ascii="Arial" w:hAnsi="Arial" w:cs="Arial"/>
          <w:sz w:val="20"/>
          <w:szCs w:val="20"/>
          <w:lang w:val="es-ES"/>
        </w:rPr>
        <w:t>Ximhai</w:t>
      </w:r>
      <w:proofErr w:type="spellEnd"/>
      <w:r w:rsidRPr="006E2D12">
        <w:rPr>
          <w:rFonts w:ascii="Arial" w:hAnsi="Arial" w:cs="Arial"/>
          <w:sz w:val="20"/>
          <w:szCs w:val="20"/>
          <w:lang w:val="es-ES"/>
        </w:rPr>
        <w:t>. Universidad Autónoma Indígena de México. 6:(3) pp. 347-353.</w:t>
      </w:r>
    </w:p>
    <w:p w:rsidR="00EC38DC" w:rsidRPr="008E3335" w:rsidRDefault="00E95D93" w:rsidP="00CA5155">
      <w:pPr>
        <w:jc w:val="both"/>
        <w:rPr>
          <w:rFonts w:ascii="Arial" w:hAnsi="Arial" w:cs="Arial"/>
          <w:sz w:val="20"/>
          <w:szCs w:val="20"/>
        </w:rPr>
      </w:pPr>
      <w:r w:rsidRPr="00CA5155">
        <w:rPr>
          <w:rFonts w:ascii="Arial" w:hAnsi="Arial" w:cs="Arial"/>
          <w:sz w:val="20"/>
          <w:szCs w:val="20"/>
        </w:rPr>
        <w:t xml:space="preserve">García Rubio O., </w:t>
      </w:r>
      <w:proofErr w:type="spellStart"/>
      <w:r w:rsidRPr="00CA5155">
        <w:rPr>
          <w:rFonts w:ascii="Arial" w:hAnsi="Arial" w:cs="Arial"/>
          <w:sz w:val="20"/>
          <w:szCs w:val="20"/>
        </w:rPr>
        <w:t>Malda</w:t>
      </w:r>
      <w:proofErr w:type="spellEnd"/>
      <w:r w:rsidRPr="00CA5155">
        <w:rPr>
          <w:rFonts w:ascii="Arial" w:hAnsi="Arial" w:cs="Arial"/>
          <w:sz w:val="20"/>
          <w:szCs w:val="20"/>
        </w:rPr>
        <w:t xml:space="preserve"> Barrera G.2010. </w:t>
      </w:r>
      <w:proofErr w:type="spellStart"/>
      <w:r w:rsidR="00CA5155">
        <w:rPr>
          <w:rFonts w:ascii="Arial" w:hAnsi="Arial" w:cs="Arial"/>
          <w:sz w:val="20"/>
          <w:szCs w:val="20"/>
          <w:lang w:val="en-US"/>
        </w:rPr>
        <w:t>Micropropagation</w:t>
      </w:r>
      <w:proofErr w:type="spellEnd"/>
      <w:r w:rsidR="00CA5155">
        <w:rPr>
          <w:rFonts w:ascii="Arial" w:hAnsi="Arial" w:cs="Arial"/>
          <w:sz w:val="20"/>
          <w:szCs w:val="20"/>
          <w:lang w:val="en-US"/>
        </w:rPr>
        <w:t xml:space="preserve"> and reintroduction of the </w:t>
      </w:r>
      <w:r w:rsidRPr="00CA5155">
        <w:rPr>
          <w:rFonts w:ascii="Arial" w:hAnsi="Arial" w:cs="Arial"/>
          <w:sz w:val="20"/>
          <w:szCs w:val="20"/>
          <w:lang w:val="en-US"/>
        </w:rPr>
        <w:t xml:space="preserve">endemic </w:t>
      </w:r>
      <w:proofErr w:type="spellStart"/>
      <w:proofErr w:type="gramStart"/>
      <w:r w:rsidRPr="00CA5155">
        <w:rPr>
          <w:rFonts w:ascii="Arial" w:hAnsi="Arial" w:cs="Arial"/>
          <w:i/>
          <w:iCs/>
          <w:sz w:val="20"/>
          <w:szCs w:val="20"/>
          <w:lang w:val="en-US"/>
        </w:rPr>
        <w:t>Mammillaria</w:t>
      </w:r>
      <w:proofErr w:type="spellEnd"/>
      <w:r w:rsidR="00CA5155">
        <w:rPr>
          <w:rFonts w:ascii="Arial" w:hAnsi="Arial" w:cs="Arial"/>
          <w:i/>
          <w:iCs/>
          <w:sz w:val="20"/>
          <w:szCs w:val="20"/>
          <w:lang w:val="en-US"/>
        </w:rPr>
        <w:t xml:space="preserve"> </w:t>
      </w:r>
      <w:r w:rsidRPr="00CA5155">
        <w:rPr>
          <w:rFonts w:ascii="Arial" w:hAnsi="Arial" w:cs="Arial"/>
          <w:i/>
          <w:iCs/>
          <w:sz w:val="20"/>
          <w:szCs w:val="20"/>
          <w:lang w:val="en-US"/>
        </w:rPr>
        <w:t xml:space="preserve"> </w:t>
      </w:r>
      <w:proofErr w:type="spellStart"/>
      <w:r w:rsidRPr="00CA5155">
        <w:rPr>
          <w:rFonts w:ascii="Arial" w:hAnsi="Arial" w:cs="Arial"/>
          <w:i/>
          <w:iCs/>
          <w:sz w:val="20"/>
          <w:szCs w:val="20"/>
          <w:lang w:val="en-US"/>
        </w:rPr>
        <w:t>mathildae</w:t>
      </w:r>
      <w:proofErr w:type="spellEnd"/>
      <w:proofErr w:type="gramEnd"/>
      <w:r w:rsidRPr="00CA5155">
        <w:rPr>
          <w:rFonts w:ascii="Arial" w:hAnsi="Arial" w:cs="Arial"/>
          <w:i/>
          <w:iCs/>
          <w:sz w:val="20"/>
          <w:szCs w:val="20"/>
          <w:lang w:val="en-US"/>
        </w:rPr>
        <w:t xml:space="preserve"> </w:t>
      </w:r>
      <w:r w:rsidRPr="00CA5155">
        <w:rPr>
          <w:rFonts w:ascii="Arial" w:hAnsi="Arial" w:cs="Arial"/>
          <w:sz w:val="20"/>
          <w:szCs w:val="20"/>
          <w:lang w:val="en-US"/>
        </w:rPr>
        <w:t>(</w:t>
      </w:r>
      <w:proofErr w:type="spellStart"/>
      <w:r w:rsidRPr="00CA5155">
        <w:rPr>
          <w:rFonts w:ascii="Arial" w:hAnsi="Arial" w:cs="Arial"/>
          <w:sz w:val="20"/>
          <w:szCs w:val="20"/>
          <w:lang w:val="en-US"/>
        </w:rPr>
        <w:t>Cactaceae</w:t>
      </w:r>
      <w:proofErr w:type="spellEnd"/>
      <w:r w:rsidRPr="00CA5155">
        <w:rPr>
          <w:rFonts w:ascii="Arial" w:hAnsi="Arial" w:cs="Arial"/>
          <w:sz w:val="20"/>
          <w:szCs w:val="20"/>
          <w:lang w:val="en-US"/>
        </w:rPr>
        <w:t>) to its natural</w:t>
      </w:r>
      <w:r w:rsidR="00CA5155">
        <w:rPr>
          <w:rFonts w:ascii="Arial" w:hAnsi="Arial" w:cs="Arial"/>
          <w:sz w:val="20"/>
          <w:szCs w:val="20"/>
          <w:lang w:val="en-US"/>
        </w:rPr>
        <w:t xml:space="preserve"> </w:t>
      </w:r>
      <w:r w:rsidRPr="00CA5155">
        <w:rPr>
          <w:rFonts w:ascii="Arial" w:hAnsi="Arial" w:cs="Arial"/>
          <w:sz w:val="20"/>
          <w:szCs w:val="20"/>
          <w:lang w:val="en-US"/>
        </w:rPr>
        <w:t xml:space="preserve">habitat. </w:t>
      </w:r>
      <w:r w:rsidRPr="008E3335">
        <w:rPr>
          <w:rFonts w:ascii="Arial" w:hAnsi="Arial" w:cs="Arial"/>
          <w:sz w:val="20"/>
          <w:szCs w:val="20"/>
        </w:rPr>
        <w:t>Hortscience.45</w:t>
      </w:r>
      <w:r w:rsidR="00CA5155" w:rsidRPr="008E3335">
        <w:rPr>
          <w:rFonts w:ascii="Arial" w:hAnsi="Arial" w:cs="Arial"/>
          <w:sz w:val="20"/>
          <w:szCs w:val="20"/>
        </w:rPr>
        <w:t xml:space="preserve"> </w:t>
      </w:r>
      <w:r w:rsidRPr="008E3335">
        <w:rPr>
          <w:rFonts w:ascii="Arial" w:hAnsi="Arial" w:cs="Arial"/>
          <w:sz w:val="20"/>
          <w:szCs w:val="20"/>
        </w:rPr>
        <w:t xml:space="preserve">(6).934-938. </w:t>
      </w:r>
    </w:p>
    <w:p w:rsidR="006E2D12" w:rsidRPr="006E2D12" w:rsidRDefault="006E2D12" w:rsidP="006E2D12">
      <w:pPr>
        <w:jc w:val="both"/>
        <w:rPr>
          <w:rFonts w:ascii="Arial" w:hAnsi="Arial" w:cs="Arial"/>
          <w:sz w:val="20"/>
          <w:szCs w:val="20"/>
          <w:lang w:eastAsia="es-MX"/>
        </w:rPr>
      </w:pPr>
      <w:proofErr w:type="spellStart"/>
      <w:r w:rsidRPr="008E3335">
        <w:rPr>
          <w:rFonts w:ascii="Arial" w:hAnsi="Arial" w:cs="Arial"/>
          <w:sz w:val="20"/>
          <w:szCs w:val="20"/>
        </w:rPr>
        <w:t>Iriondo</w:t>
      </w:r>
      <w:proofErr w:type="spellEnd"/>
      <w:r w:rsidRPr="008E3335">
        <w:rPr>
          <w:rFonts w:ascii="Arial" w:hAnsi="Arial" w:cs="Arial"/>
          <w:sz w:val="20"/>
          <w:szCs w:val="20"/>
        </w:rPr>
        <w:t xml:space="preserve">, H. A. Ma. 2001. </w:t>
      </w:r>
      <w:r w:rsidR="00CA5155">
        <w:rPr>
          <w:rFonts w:ascii="Arial" w:hAnsi="Arial" w:cs="Arial"/>
          <w:sz w:val="20"/>
          <w:szCs w:val="20"/>
        </w:rPr>
        <w:t xml:space="preserve">Conservación de </w:t>
      </w:r>
      <w:r w:rsidRPr="006E2D12">
        <w:rPr>
          <w:rFonts w:ascii="Arial" w:hAnsi="Arial" w:cs="Arial"/>
          <w:sz w:val="20"/>
          <w:szCs w:val="20"/>
        </w:rPr>
        <w:t xml:space="preserve">Germoplasma y especies raras y amenazadas (Revisión). Universidad </w:t>
      </w:r>
      <w:proofErr w:type="spellStart"/>
      <w:r w:rsidRPr="006E2D12">
        <w:rPr>
          <w:rFonts w:ascii="Arial" w:hAnsi="Arial" w:cs="Arial"/>
          <w:sz w:val="20"/>
          <w:szCs w:val="20"/>
        </w:rPr>
        <w:t>Politecnica</w:t>
      </w:r>
      <w:proofErr w:type="spellEnd"/>
      <w:r w:rsidRPr="006E2D12">
        <w:rPr>
          <w:rFonts w:ascii="Arial" w:hAnsi="Arial" w:cs="Arial"/>
          <w:sz w:val="20"/>
          <w:szCs w:val="20"/>
        </w:rPr>
        <w:t xml:space="preserve"> de Madrid. Madrid</w:t>
      </w:r>
    </w:p>
    <w:p w:rsidR="00354FD2" w:rsidRDefault="00354FD2" w:rsidP="00354FD2">
      <w:pPr>
        <w:jc w:val="both"/>
        <w:rPr>
          <w:rFonts w:ascii="Arial" w:hAnsi="Arial" w:cs="Arial"/>
          <w:sz w:val="20"/>
          <w:szCs w:val="20"/>
          <w:lang w:val="es-ES"/>
        </w:rPr>
      </w:pPr>
      <w:r w:rsidRPr="006E2D12">
        <w:rPr>
          <w:rFonts w:ascii="Arial" w:hAnsi="Arial" w:cs="Arial"/>
          <w:sz w:val="20"/>
          <w:szCs w:val="20"/>
          <w:lang w:val="es-ES"/>
        </w:rPr>
        <w:t>Jiménez C. 2011. Las cactáceas mexicanas y los peligros que representa. Revista Digital Universitaria  12(1).</w:t>
      </w:r>
    </w:p>
    <w:p w:rsidR="006E2D12" w:rsidRDefault="006E2D12" w:rsidP="00354FD2">
      <w:pPr>
        <w:jc w:val="both"/>
        <w:rPr>
          <w:rFonts w:ascii="Arial" w:hAnsi="Arial" w:cs="Arial"/>
          <w:sz w:val="20"/>
          <w:szCs w:val="20"/>
          <w:lang w:val="es-ES"/>
        </w:rPr>
      </w:pPr>
      <w:r>
        <w:rPr>
          <w:rFonts w:ascii="Arial" w:hAnsi="Arial" w:cs="Arial"/>
          <w:sz w:val="20"/>
          <w:szCs w:val="20"/>
          <w:lang w:val="es-ES"/>
        </w:rPr>
        <w:t xml:space="preserve">Lascuráin M., </w:t>
      </w:r>
      <w:proofErr w:type="spellStart"/>
      <w:r>
        <w:rPr>
          <w:rFonts w:ascii="Arial" w:hAnsi="Arial" w:cs="Arial"/>
          <w:sz w:val="20"/>
          <w:szCs w:val="20"/>
          <w:lang w:val="es-ES"/>
        </w:rPr>
        <w:t>Rurik</w:t>
      </w:r>
      <w:proofErr w:type="spellEnd"/>
      <w:r>
        <w:rPr>
          <w:rFonts w:ascii="Arial" w:hAnsi="Arial" w:cs="Arial"/>
          <w:sz w:val="20"/>
          <w:szCs w:val="20"/>
          <w:lang w:val="es-ES"/>
        </w:rPr>
        <w:t xml:space="preserve"> L., Laura Barraza, Edmundo Díaz Pardo y Fernando Gual </w:t>
      </w:r>
      <w:proofErr w:type="spellStart"/>
      <w:r>
        <w:rPr>
          <w:rFonts w:ascii="Arial" w:hAnsi="Arial" w:cs="Arial"/>
          <w:sz w:val="20"/>
          <w:szCs w:val="20"/>
          <w:lang w:val="es-ES"/>
        </w:rPr>
        <w:t>Sill</w:t>
      </w:r>
      <w:proofErr w:type="spellEnd"/>
      <w:r>
        <w:rPr>
          <w:rFonts w:ascii="Arial" w:hAnsi="Arial" w:cs="Arial"/>
          <w:sz w:val="20"/>
          <w:szCs w:val="20"/>
          <w:lang w:val="es-ES"/>
        </w:rPr>
        <w:t xml:space="preserve">. 2009. conservación de las especies </w:t>
      </w:r>
      <w:r w:rsidR="00CA5155">
        <w:rPr>
          <w:rFonts w:ascii="Arial" w:hAnsi="Arial" w:cs="Arial"/>
          <w:sz w:val="20"/>
          <w:szCs w:val="20"/>
          <w:lang w:val="es-ES"/>
        </w:rPr>
        <w:t>Ex situ, en Capital  natural  de México. vol. II. Estado de conservación y tendencias de cambio. CONABIO.</w:t>
      </w:r>
    </w:p>
    <w:p w:rsidR="00CA5155" w:rsidRPr="00E95D93" w:rsidRDefault="00E95D93" w:rsidP="00354FD2">
      <w:pPr>
        <w:jc w:val="both"/>
        <w:rPr>
          <w:rFonts w:ascii="Arial" w:hAnsi="Arial" w:cs="Arial"/>
          <w:sz w:val="20"/>
          <w:szCs w:val="24"/>
          <w:lang w:eastAsia="es-MX"/>
        </w:rPr>
      </w:pPr>
      <w:r w:rsidRPr="00E95D93">
        <w:rPr>
          <w:rFonts w:ascii="Arial" w:hAnsi="Arial" w:cs="Arial"/>
          <w:sz w:val="20"/>
          <w:szCs w:val="24"/>
          <w:lang w:eastAsia="es-MX"/>
        </w:rPr>
        <w:t>Secretaria de Medioambiente y Recursos Naturales. Manual de  Conservación y Restauración  de Cactáceas y otras planas suculentas.</w:t>
      </w:r>
    </w:p>
    <w:p w:rsidR="00354FD2" w:rsidRDefault="00354FD2" w:rsidP="00354FD2">
      <w:pPr>
        <w:jc w:val="both"/>
        <w:rPr>
          <w:rFonts w:ascii="Arial" w:hAnsi="Arial" w:cs="Arial"/>
          <w:iCs/>
          <w:sz w:val="20"/>
          <w:szCs w:val="20"/>
        </w:rPr>
      </w:pPr>
      <w:r w:rsidRPr="006E2D12">
        <w:rPr>
          <w:rFonts w:ascii="Arial" w:hAnsi="Arial" w:cs="Arial"/>
          <w:iCs/>
          <w:sz w:val="20"/>
          <w:szCs w:val="20"/>
        </w:rPr>
        <w:t>Zamudio S. y Galván V.  2011. La diversidad vegetal del estado de Guanajuato, México. Instituto de ecología, A.C. Centro Regional del  Bajío. Departamento de Botánica Escuela Nacional de ciencias Biológicas del Instituto Politécnico Nacional.</w:t>
      </w:r>
      <w:r w:rsidR="00E86A61">
        <w:rPr>
          <w:rFonts w:ascii="Arial" w:hAnsi="Arial" w:cs="Arial"/>
          <w:iCs/>
          <w:sz w:val="20"/>
          <w:szCs w:val="20"/>
        </w:rPr>
        <w:t xml:space="preserve"> Fascículo complementario XXVII.</w:t>
      </w:r>
    </w:p>
    <w:p w:rsidR="00354FD2" w:rsidRPr="00354FD2" w:rsidRDefault="00354FD2" w:rsidP="00BA3839">
      <w:pPr>
        <w:jc w:val="both"/>
        <w:rPr>
          <w:rFonts w:ascii="Arial" w:hAnsi="Arial" w:cs="Arial"/>
          <w:sz w:val="16"/>
          <w:szCs w:val="20"/>
          <w:lang w:val="es-ES"/>
        </w:rPr>
      </w:pPr>
      <w:bookmarkStart w:id="0" w:name="_GoBack"/>
      <w:bookmarkEnd w:id="0"/>
    </w:p>
    <w:sectPr w:rsidR="00354FD2" w:rsidRPr="00354FD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FEF" w:rsidRDefault="006F7FEF" w:rsidP="003B4863">
      <w:pPr>
        <w:spacing w:after="0" w:line="240" w:lineRule="auto"/>
      </w:pPr>
      <w:r>
        <w:separator/>
      </w:r>
    </w:p>
  </w:endnote>
  <w:endnote w:type="continuationSeparator" w:id="0">
    <w:p w:rsidR="006F7FEF" w:rsidRDefault="006F7FEF" w:rsidP="003B4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209768"/>
      <w:docPartObj>
        <w:docPartGallery w:val="Page Numbers (Bottom of Page)"/>
        <w:docPartUnique/>
      </w:docPartObj>
    </w:sdtPr>
    <w:sdtEndPr/>
    <w:sdtContent>
      <w:p w:rsidR="007D5021" w:rsidRDefault="007D5021">
        <w:pPr>
          <w:pStyle w:val="Piedepgina"/>
          <w:jc w:val="center"/>
        </w:pPr>
        <w:r>
          <w:fldChar w:fldCharType="begin"/>
        </w:r>
        <w:r>
          <w:instrText>PAGE   \* MERGEFORMAT</w:instrText>
        </w:r>
        <w:r>
          <w:fldChar w:fldCharType="separate"/>
        </w:r>
        <w:r w:rsidR="001F6C81" w:rsidRPr="001F6C81">
          <w:rPr>
            <w:noProof/>
            <w:lang w:val="es-ES"/>
          </w:rPr>
          <w:t>3</w:t>
        </w:r>
        <w:r>
          <w:fldChar w:fldCharType="end"/>
        </w:r>
      </w:p>
    </w:sdtContent>
  </w:sdt>
  <w:p w:rsidR="007D5021" w:rsidRDefault="007D50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FEF" w:rsidRDefault="006F7FEF" w:rsidP="003B4863">
      <w:pPr>
        <w:spacing w:after="0" w:line="240" w:lineRule="auto"/>
      </w:pPr>
      <w:r>
        <w:separator/>
      </w:r>
    </w:p>
  </w:footnote>
  <w:footnote w:type="continuationSeparator" w:id="0">
    <w:p w:rsidR="006F7FEF" w:rsidRDefault="006F7FEF" w:rsidP="003B48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FEF" w:rsidRDefault="006F7FEF">
    <w:pPr>
      <w:pStyle w:val="Encabezado"/>
    </w:pPr>
    <w:r>
      <w:rPr>
        <w:noProof/>
        <w:lang w:eastAsia="es-MX"/>
      </w:rPr>
      <w:drawing>
        <wp:inline distT="0" distB="0" distL="0" distR="0" wp14:anchorId="76DE4C8A" wp14:editId="492B3DBF">
          <wp:extent cx="5612130" cy="1151481"/>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51481"/>
                  </a:xfrm>
                  <a:prstGeom prst="rect">
                    <a:avLst/>
                  </a:prstGeom>
                  <a:noFill/>
                  <a:ln>
                    <a:noFill/>
                  </a:ln>
                </pic:spPr>
              </pic:pic>
            </a:graphicData>
          </a:graphic>
        </wp:inline>
      </w:drawing>
    </w:r>
  </w:p>
  <w:p w:rsidR="006F7FEF" w:rsidRDefault="006F7F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12AD5"/>
    <w:multiLevelType w:val="hybridMultilevel"/>
    <w:tmpl w:val="DC1EE820"/>
    <w:lvl w:ilvl="0" w:tplc="966EA716">
      <w:start w:val="1"/>
      <w:numFmt w:val="bullet"/>
      <w:lvlText w:val=""/>
      <w:lvlJc w:val="left"/>
      <w:pPr>
        <w:tabs>
          <w:tab w:val="num" w:pos="720"/>
        </w:tabs>
        <w:ind w:left="720" w:hanging="360"/>
      </w:pPr>
      <w:rPr>
        <w:rFonts w:ascii="Wingdings 2" w:hAnsi="Wingdings 2" w:hint="default"/>
      </w:rPr>
    </w:lvl>
    <w:lvl w:ilvl="1" w:tplc="8286B6D4" w:tentative="1">
      <w:start w:val="1"/>
      <w:numFmt w:val="bullet"/>
      <w:lvlText w:val=""/>
      <w:lvlJc w:val="left"/>
      <w:pPr>
        <w:tabs>
          <w:tab w:val="num" w:pos="1440"/>
        </w:tabs>
        <w:ind w:left="1440" w:hanging="360"/>
      </w:pPr>
      <w:rPr>
        <w:rFonts w:ascii="Wingdings 2" w:hAnsi="Wingdings 2" w:hint="default"/>
      </w:rPr>
    </w:lvl>
    <w:lvl w:ilvl="2" w:tplc="5A92FC1A" w:tentative="1">
      <w:start w:val="1"/>
      <w:numFmt w:val="bullet"/>
      <w:lvlText w:val=""/>
      <w:lvlJc w:val="left"/>
      <w:pPr>
        <w:tabs>
          <w:tab w:val="num" w:pos="2160"/>
        </w:tabs>
        <w:ind w:left="2160" w:hanging="360"/>
      </w:pPr>
      <w:rPr>
        <w:rFonts w:ascii="Wingdings 2" w:hAnsi="Wingdings 2" w:hint="default"/>
      </w:rPr>
    </w:lvl>
    <w:lvl w:ilvl="3" w:tplc="3D58BB3A" w:tentative="1">
      <w:start w:val="1"/>
      <w:numFmt w:val="bullet"/>
      <w:lvlText w:val=""/>
      <w:lvlJc w:val="left"/>
      <w:pPr>
        <w:tabs>
          <w:tab w:val="num" w:pos="2880"/>
        </w:tabs>
        <w:ind w:left="2880" w:hanging="360"/>
      </w:pPr>
      <w:rPr>
        <w:rFonts w:ascii="Wingdings 2" w:hAnsi="Wingdings 2" w:hint="default"/>
      </w:rPr>
    </w:lvl>
    <w:lvl w:ilvl="4" w:tplc="23B8CFF0" w:tentative="1">
      <w:start w:val="1"/>
      <w:numFmt w:val="bullet"/>
      <w:lvlText w:val=""/>
      <w:lvlJc w:val="left"/>
      <w:pPr>
        <w:tabs>
          <w:tab w:val="num" w:pos="3600"/>
        </w:tabs>
        <w:ind w:left="3600" w:hanging="360"/>
      </w:pPr>
      <w:rPr>
        <w:rFonts w:ascii="Wingdings 2" w:hAnsi="Wingdings 2" w:hint="default"/>
      </w:rPr>
    </w:lvl>
    <w:lvl w:ilvl="5" w:tplc="E3607F0E" w:tentative="1">
      <w:start w:val="1"/>
      <w:numFmt w:val="bullet"/>
      <w:lvlText w:val=""/>
      <w:lvlJc w:val="left"/>
      <w:pPr>
        <w:tabs>
          <w:tab w:val="num" w:pos="4320"/>
        </w:tabs>
        <w:ind w:left="4320" w:hanging="360"/>
      </w:pPr>
      <w:rPr>
        <w:rFonts w:ascii="Wingdings 2" w:hAnsi="Wingdings 2" w:hint="default"/>
      </w:rPr>
    </w:lvl>
    <w:lvl w:ilvl="6" w:tplc="9996BA9C" w:tentative="1">
      <w:start w:val="1"/>
      <w:numFmt w:val="bullet"/>
      <w:lvlText w:val=""/>
      <w:lvlJc w:val="left"/>
      <w:pPr>
        <w:tabs>
          <w:tab w:val="num" w:pos="5040"/>
        </w:tabs>
        <w:ind w:left="5040" w:hanging="360"/>
      </w:pPr>
      <w:rPr>
        <w:rFonts w:ascii="Wingdings 2" w:hAnsi="Wingdings 2" w:hint="default"/>
      </w:rPr>
    </w:lvl>
    <w:lvl w:ilvl="7" w:tplc="8B70A8C8" w:tentative="1">
      <w:start w:val="1"/>
      <w:numFmt w:val="bullet"/>
      <w:lvlText w:val=""/>
      <w:lvlJc w:val="left"/>
      <w:pPr>
        <w:tabs>
          <w:tab w:val="num" w:pos="5760"/>
        </w:tabs>
        <w:ind w:left="5760" w:hanging="360"/>
      </w:pPr>
      <w:rPr>
        <w:rFonts w:ascii="Wingdings 2" w:hAnsi="Wingdings 2" w:hint="default"/>
      </w:rPr>
    </w:lvl>
    <w:lvl w:ilvl="8" w:tplc="9A8C76A4"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863"/>
    <w:rsid w:val="00036B92"/>
    <w:rsid w:val="00116814"/>
    <w:rsid w:val="00150B8E"/>
    <w:rsid w:val="001B64C2"/>
    <w:rsid w:val="001F6C81"/>
    <w:rsid w:val="00282BE5"/>
    <w:rsid w:val="002A1D05"/>
    <w:rsid w:val="002D18A6"/>
    <w:rsid w:val="00354FD2"/>
    <w:rsid w:val="003B4863"/>
    <w:rsid w:val="003F3DCC"/>
    <w:rsid w:val="004B47C2"/>
    <w:rsid w:val="004E273D"/>
    <w:rsid w:val="00512A78"/>
    <w:rsid w:val="0055232B"/>
    <w:rsid w:val="00560E25"/>
    <w:rsid w:val="00586598"/>
    <w:rsid w:val="005A2C90"/>
    <w:rsid w:val="005C348F"/>
    <w:rsid w:val="00683529"/>
    <w:rsid w:val="006E2D12"/>
    <w:rsid w:val="006F7FEF"/>
    <w:rsid w:val="007319DF"/>
    <w:rsid w:val="007D5021"/>
    <w:rsid w:val="007F073C"/>
    <w:rsid w:val="008E3335"/>
    <w:rsid w:val="008E57AE"/>
    <w:rsid w:val="00A04AD8"/>
    <w:rsid w:val="00A764F7"/>
    <w:rsid w:val="00AD5C5C"/>
    <w:rsid w:val="00AD7A0D"/>
    <w:rsid w:val="00AF2944"/>
    <w:rsid w:val="00B92FB9"/>
    <w:rsid w:val="00BA3839"/>
    <w:rsid w:val="00BD355D"/>
    <w:rsid w:val="00BE6688"/>
    <w:rsid w:val="00C460DD"/>
    <w:rsid w:val="00CA5155"/>
    <w:rsid w:val="00DE0EAA"/>
    <w:rsid w:val="00DF7CAE"/>
    <w:rsid w:val="00E86A61"/>
    <w:rsid w:val="00E95D93"/>
    <w:rsid w:val="00EC38DC"/>
    <w:rsid w:val="00F62C63"/>
    <w:rsid w:val="00F937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48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4863"/>
  </w:style>
  <w:style w:type="paragraph" w:styleId="Piedepgina">
    <w:name w:val="footer"/>
    <w:basedOn w:val="Normal"/>
    <w:link w:val="PiedepginaCar"/>
    <w:uiPriority w:val="99"/>
    <w:unhideWhenUsed/>
    <w:rsid w:val="003B48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4863"/>
  </w:style>
  <w:style w:type="paragraph" w:styleId="Textodeglobo">
    <w:name w:val="Balloon Text"/>
    <w:basedOn w:val="Normal"/>
    <w:link w:val="TextodegloboCar"/>
    <w:uiPriority w:val="99"/>
    <w:semiHidden/>
    <w:unhideWhenUsed/>
    <w:rsid w:val="003B48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863"/>
    <w:rPr>
      <w:rFonts w:ascii="Tahoma" w:hAnsi="Tahoma" w:cs="Tahoma"/>
      <w:sz w:val="16"/>
      <w:szCs w:val="16"/>
    </w:rPr>
  </w:style>
  <w:style w:type="character" w:styleId="Hipervnculo">
    <w:name w:val="Hyperlink"/>
    <w:basedOn w:val="Fuentedeprrafopredeter"/>
    <w:uiPriority w:val="99"/>
    <w:unhideWhenUsed/>
    <w:rsid w:val="00512A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48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4863"/>
  </w:style>
  <w:style w:type="paragraph" w:styleId="Piedepgina">
    <w:name w:val="footer"/>
    <w:basedOn w:val="Normal"/>
    <w:link w:val="PiedepginaCar"/>
    <w:uiPriority w:val="99"/>
    <w:unhideWhenUsed/>
    <w:rsid w:val="003B48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4863"/>
  </w:style>
  <w:style w:type="paragraph" w:styleId="Textodeglobo">
    <w:name w:val="Balloon Text"/>
    <w:basedOn w:val="Normal"/>
    <w:link w:val="TextodegloboCar"/>
    <w:uiPriority w:val="99"/>
    <w:semiHidden/>
    <w:unhideWhenUsed/>
    <w:rsid w:val="003B48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863"/>
    <w:rPr>
      <w:rFonts w:ascii="Tahoma" w:hAnsi="Tahoma" w:cs="Tahoma"/>
      <w:sz w:val="16"/>
      <w:szCs w:val="16"/>
    </w:rPr>
  </w:style>
  <w:style w:type="character" w:styleId="Hipervnculo">
    <w:name w:val="Hyperlink"/>
    <w:basedOn w:val="Fuentedeprrafopredeter"/>
    <w:uiPriority w:val="99"/>
    <w:unhideWhenUsed/>
    <w:rsid w:val="00512A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4035">
      <w:bodyDiv w:val="1"/>
      <w:marLeft w:val="0"/>
      <w:marRight w:val="0"/>
      <w:marTop w:val="0"/>
      <w:marBottom w:val="0"/>
      <w:divBdr>
        <w:top w:val="none" w:sz="0" w:space="0" w:color="auto"/>
        <w:left w:val="none" w:sz="0" w:space="0" w:color="auto"/>
        <w:bottom w:val="none" w:sz="0" w:space="0" w:color="auto"/>
        <w:right w:val="none" w:sz="0" w:space="0" w:color="auto"/>
      </w:divBdr>
      <w:divsChild>
        <w:div w:id="1687293409">
          <w:marLeft w:val="547"/>
          <w:marRight w:val="0"/>
          <w:marTop w:val="115"/>
          <w:marBottom w:val="0"/>
          <w:divBdr>
            <w:top w:val="none" w:sz="0" w:space="0" w:color="auto"/>
            <w:left w:val="none" w:sz="0" w:space="0" w:color="auto"/>
            <w:bottom w:val="none" w:sz="0" w:space="0" w:color="auto"/>
            <w:right w:val="none" w:sz="0" w:space="0" w:color="auto"/>
          </w:divBdr>
        </w:div>
      </w:divsChild>
    </w:div>
    <w:div w:id="111286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uan_rivas92@hotmail.com" TargetMode="External"/><Relationship Id="rId4" Type="http://schemas.microsoft.com/office/2007/relationships/stylesWithEffects" Target="stylesWithEffects.xml"/><Relationship Id="rId9" Type="http://schemas.openxmlformats.org/officeDocument/2006/relationships/hyperlink" Target="mailto:clgonzalez@itesi.edu.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sem-%202014\articulos%20para%20resumen\Libro3%20(Autoguard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Hoja1!$G$1</c:f>
              <c:strCache>
                <c:ptCount val="1"/>
                <c:pt idx="0">
                  <c:v>Semillas  colectadas</c:v>
                </c:pt>
              </c:strCache>
            </c:strRef>
          </c:tx>
          <c:invertIfNegative val="0"/>
          <c:cat>
            <c:strRef>
              <c:f>Hoja1!$F$2:$F$5</c:f>
              <c:strCache>
                <c:ptCount val="4"/>
                <c:pt idx="0">
                  <c:v>Stenocereus p.</c:v>
                </c:pt>
                <c:pt idx="1">
                  <c:v>Mammillaria uncinata</c:v>
                </c:pt>
                <c:pt idx="2">
                  <c:v>Mamillaria densispina</c:v>
                </c:pt>
                <c:pt idx="3">
                  <c:v>Stenocactus sp.</c:v>
                </c:pt>
              </c:strCache>
            </c:strRef>
          </c:cat>
          <c:val>
            <c:numRef>
              <c:f>Hoja1!$G$2:$G$5</c:f>
              <c:numCache>
                <c:formatCode>General</c:formatCode>
                <c:ptCount val="4"/>
                <c:pt idx="0">
                  <c:v>14</c:v>
                </c:pt>
                <c:pt idx="1">
                  <c:v>47</c:v>
                </c:pt>
                <c:pt idx="2">
                  <c:v>47</c:v>
                </c:pt>
                <c:pt idx="3">
                  <c:v>1180</c:v>
                </c:pt>
              </c:numCache>
            </c:numRef>
          </c:val>
        </c:ser>
        <c:ser>
          <c:idx val="1"/>
          <c:order val="1"/>
          <c:tx>
            <c:strRef>
              <c:f>Hoja1!$H$1</c:f>
              <c:strCache>
                <c:ptCount val="1"/>
                <c:pt idx="0">
                  <c:v>Semillas viables</c:v>
                </c:pt>
              </c:strCache>
            </c:strRef>
          </c:tx>
          <c:invertIfNegative val="0"/>
          <c:cat>
            <c:strRef>
              <c:f>Hoja1!$F$2:$F$5</c:f>
              <c:strCache>
                <c:ptCount val="4"/>
                <c:pt idx="0">
                  <c:v>Stenocereus p.</c:v>
                </c:pt>
                <c:pt idx="1">
                  <c:v>Mammillaria uncinata</c:v>
                </c:pt>
                <c:pt idx="2">
                  <c:v>Mamillaria densispina</c:v>
                </c:pt>
                <c:pt idx="3">
                  <c:v>Stenocactus sp.</c:v>
                </c:pt>
              </c:strCache>
            </c:strRef>
          </c:cat>
          <c:val>
            <c:numRef>
              <c:f>Hoja1!$H$2:$H$5</c:f>
              <c:numCache>
                <c:formatCode>General</c:formatCode>
                <c:ptCount val="4"/>
                <c:pt idx="0">
                  <c:v>13</c:v>
                </c:pt>
                <c:pt idx="1">
                  <c:v>22</c:v>
                </c:pt>
                <c:pt idx="2">
                  <c:v>22</c:v>
                </c:pt>
                <c:pt idx="3">
                  <c:v>1079</c:v>
                </c:pt>
              </c:numCache>
            </c:numRef>
          </c:val>
        </c:ser>
        <c:ser>
          <c:idx val="2"/>
          <c:order val="2"/>
          <c:tx>
            <c:strRef>
              <c:f>Hoja1!$I$1</c:f>
              <c:strCache>
                <c:ptCount val="1"/>
                <c:pt idx="0">
                  <c:v>No viables</c:v>
                </c:pt>
              </c:strCache>
            </c:strRef>
          </c:tx>
          <c:invertIfNegative val="0"/>
          <c:cat>
            <c:strRef>
              <c:f>Hoja1!$F$2:$F$5</c:f>
              <c:strCache>
                <c:ptCount val="4"/>
                <c:pt idx="0">
                  <c:v>Stenocereus p.</c:v>
                </c:pt>
                <c:pt idx="1">
                  <c:v>Mammillaria uncinata</c:v>
                </c:pt>
                <c:pt idx="2">
                  <c:v>Mamillaria densispina</c:v>
                </c:pt>
                <c:pt idx="3">
                  <c:v>Stenocactus sp.</c:v>
                </c:pt>
              </c:strCache>
            </c:strRef>
          </c:cat>
          <c:val>
            <c:numRef>
              <c:f>Hoja1!$I$2:$I$5</c:f>
              <c:numCache>
                <c:formatCode>General</c:formatCode>
                <c:ptCount val="4"/>
                <c:pt idx="0">
                  <c:v>1</c:v>
                </c:pt>
                <c:pt idx="1">
                  <c:v>25</c:v>
                </c:pt>
                <c:pt idx="2">
                  <c:v>25</c:v>
                </c:pt>
                <c:pt idx="3">
                  <c:v>10</c:v>
                </c:pt>
              </c:numCache>
            </c:numRef>
          </c:val>
        </c:ser>
        <c:dLbls>
          <c:showLegendKey val="0"/>
          <c:showVal val="0"/>
          <c:showCatName val="0"/>
          <c:showSerName val="0"/>
          <c:showPercent val="0"/>
          <c:showBubbleSize val="0"/>
        </c:dLbls>
        <c:gapWidth val="150"/>
        <c:axId val="99715712"/>
        <c:axId val="56119680"/>
      </c:barChart>
      <c:catAx>
        <c:axId val="99715712"/>
        <c:scaling>
          <c:orientation val="minMax"/>
        </c:scaling>
        <c:delete val="0"/>
        <c:axPos val="b"/>
        <c:majorTickMark val="out"/>
        <c:minorTickMark val="none"/>
        <c:tickLblPos val="nextTo"/>
        <c:crossAx val="56119680"/>
        <c:crosses val="autoZero"/>
        <c:auto val="1"/>
        <c:lblAlgn val="ctr"/>
        <c:lblOffset val="100"/>
        <c:noMultiLvlLbl val="0"/>
      </c:catAx>
      <c:valAx>
        <c:axId val="56119680"/>
        <c:scaling>
          <c:orientation val="minMax"/>
        </c:scaling>
        <c:delete val="0"/>
        <c:axPos val="l"/>
        <c:majorGridlines/>
        <c:numFmt formatCode="General" sourceLinked="1"/>
        <c:majorTickMark val="out"/>
        <c:minorTickMark val="none"/>
        <c:tickLblPos val="nextTo"/>
        <c:crossAx val="9971571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E4849-435E-4156-8B37-FADC8637A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4</Pages>
  <Words>1471</Words>
  <Characters>8092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Invitado</dc:creator>
  <cp:lastModifiedBy>salomon</cp:lastModifiedBy>
  <cp:revision>9</cp:revision>
  <dcterms:created xsi:type="dcterms:W3CDTF">2015-04-04T18:28:00Z</dcterms:created>
  <dcterms:modified xsi:type="dcterms:W3CDTF">2015-04-14T17:33:00Z</dcterms:modified>
</cp:coreProperties>
</file>