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D31" w:rsidRDefault="00DF5D31" w:rsidP="00991F58">
      <w:pPr>
        <w:jc w:val="center"/>
        <w:rPr>
          <w:rFonts w:eastAsia="Arial Unicode MS"/>
          <w:b/>
          <w:i/>
        </w:rPr>
      </w:pPr>
      <w:r>
        <w:rPr>
          <w:rFonts w:eastAsia="Arial Unicode MS"/>
          <w:b/>
        </w:rPr>
        <w:t xml:space="preserve">PRODUCCIÓN DE BIOETANOL 2G POR SACARIFICACIÓN Y FERMENTACIÓN SIMULTANEA (SFS) DE BIOMASA DE </w:t>
      </w:r>
      <w:r>
        <w:rPr>
          <w:rFonts w:eastAsia="Arial Unicode MS"/>
          <w:b/>
          <w:i/>
        </w:rPr>
        <w:t>Agave lechuguilla</w:t>
      </w:r>
    </w:p>
    <w:p w:rsidR="00991F58" w:rsidRPr="00991F58" w:rsidRDefault="00991F58" w:rsidP="00991F58">
      <w:pPr>
        <w:jc w:val="center"/>
        <w:rPr>
          <w:rFonts w:eastAsia="Arial Unicode MS"/>
          <w:b/>
          <w:i/>
        </w:rPr>
      </w:pPr>
    </w:p>
    <w:p w:rsidR="00DF5D31" w:rsidRPr="001A007A" w:rsidRDefault="00DF5D31" w:rsidP="00DF5D31">
      <w:pPr>
        <w:tabs>
          <w:tab w:val="left" w:pos="1080"/>
          <w:tab w:val="right" w:pos="9000"/>
        </w:tabs>
        <w:jc w:val="center"/>
        <w:rPr>
          <w:iCs/>
          <w:color w:val="000000"/>
          <w:sz w:val="20"/>
          <w:szCs w:val="20"/>
        </w:rPr>
      </w:pPr>
      <w:proofErr w:type="spellStart"/>
      <w:r>
        <w:rPr>
          <w:i/>
          <w:iCs/>
          <w:color w:val="000000"/>
          <w:sz w:val="20"/>
          <w:szCs w:val="20"/>
          <w:lang w:val="es-MX"/>
        </w:rPr>
        <w:t>Deniss</w:t>
      </w:r>
      <w:proofErr w:type="spellEnd"/>
      <w:r>
        <w:rPr>
          <w:i/>
          <w:iCs/>
          <w:color w:val="000000"/>
          <w:sz w:val="20"/>
          <w:szCs w:val="20"/>
          <w:lang w:val="es-MX"/>
        </w:rPr>
        <w:t xml:space="preserve"> </w:t>
      </w:r>
      <w:proofErr w:type="spellStart"/>
      <w:r>
        <w:rPr>
          <w:i/>
          <w:iCs/>
          <w:color w:val="000000"/>
          <w:sz w:val="20"/>
          <w:szCs w:val="20"/>
          <w:lang w:val="es-MX"/>
        </w:rPr>
        <w:t>Ithzel</w:t>
      </w:r>
      <w:proofErr w:type="spellEnd"/>
      <w:r>
        <w:rPr>
          <w:i/>
          <w:iCs/>
          <w:color w:val="000000"/>
          <w:sz w:val="20"/>
          <w:szCs w:val="20"/>
          <w:lang w:val="es-MX"/>
        </w:rPr>
        <w:t xml:space="preserve"> Díaz Blanco</w:t>
      </w:r>
      <w:r w:rsidRPr="00DF725B">
        <w:rPr>
          <w:i/>
          <w:iCs/>
          <w:color w:val="000000"/>
          <w:sz w:val="20"/>
          <w:szCs w:val="20"/>
          <w:vertAlign w:val="superscript"/>
        </w:rPr>
        <w:t>a</w:t>
      </w:r>
      <w:r w:rsidRPr="00DF725B">
        <w:rPr>
          <w:i/>
          <w:iCs/>
          <w:color w:val="000000"/>
          <w:sz w:val="20"/>
          <w:szCs w:val="20"/>
        </w:rPr>
        <w:t xml:space="preserve">,  </w:t>
      </w:r>
      <w:r>
        <w:rPr>
          <w:i/>
          <w:iCs/>
          <w:color w:val="000000"/>
          <w:sz w:val="20"/>
          <w:szCs w:val="20"/>
        </w:rPr>
        <w:t xml:space="preserve">Leopoldo J. Ríos </w:t>
      </w:r>
      <w:proofErr w:type="spellStart"/>
      <w:r>
        <w:rPr>
          <w:i/>
          <w:iCs/>
          <w:color w:val="000000"/>
          <w:sz w:val="20"/>
          <w:szCs w:val="20"/>
        </w:rPr>
        <w:t>González</w:t>
      </w:r>
      <w:r>
        <w:rPr>
          <w:i/>
          <w:iCs/>
          <w:color w:val="000000"/>
          <w:sz w:val="20"/>
          <w:szCs w:val="20"/>
          <w:vertAlign w:val="superscript"/>
        </w:rPr>
        <w:t>a</w:t>
      </w:r>
      <w:proofErr w:type="spellEnd"/>
      <w:r>
        <w:rPr>
          <w:i/>
          <w:iCs/>
          <w:color w:val="000000"/>
          <w:sz w:val="20"/>
          <w:szCs w:val="20"/>
          <w:vertAlign w:val="superscript"/>
        </w:rPr>
        <w:t>*</w:t>
      </w:r>
      <w:r>
        <w:rPr>
          <w:i/>
          <w:iCs/>
          <w:color w:val="000000"/>
          <w:sz w:val="20"/>
          <w:szCs w:val="20"/>
        </w:rPr>
        <w:t xml:space="preserve">, José A. Rodríguez de la </w:t>
      </w:r>
      <w:proofErr w:type="spellStart"/>
      <w:r>
        <w:rPr>
          <w:i/>
          <w:iCs/>
          <w:color w:val="000000"/>
          <w:sz w:val="20"/>
          <w:szCs w:val="20"/>
        </w:rPr>
        <w:t>Garza</w:t>
      </w:r>
      <w:r w:rsidRPr="001A007A">
        <w:rPr>
          <w:i/>
          <w:iCs/>
          <w:color w:val="000000"/>
          <w:sz w:val="20"/>
          <w:szCs w:val="20"/>
          <w:vertAlign w:val="superscript"/>
        </w:rPr>
        <w:t>a</w:t>
      </w:r>
      <w:proofErr w:type="spellEnd"/>
      <w:r w:rsidR="00542FB9">
        <w:rPr>
          <w:i/>
          <w:iCs/>
          <w:color w:val="000000"/>
          <w:sz w:val="20"/>
          <w:szCs w:val="20"/>
        </w:rPr>
        <w:t xml:space="preserve">, Yolanda </w:t>
      </w:r>
      <w:proofErr w:type="spellStart"/>
      <w:r w:rsidR="00542FB9">
        <w:rPr>
          <w:i/>
          <w:iCs/>
          <w:color w:val="000000"/>
          <w:sz w:val="20"/>
          <w:szCs w:val="20"/>
        </w:rPr>
        <w:t>Garz</w:t>
      </w:r>
      <w:r>
        <w:rPr>
          <w:i/>
          <w:iCs/>
          <w:color w:val="000000"/>
          <w:sz w:val="20"/>
          <w:szCs w:val="20"/>
        </w:rPr>
        <w:t>a</w:t>
      </w:r>
      <w:r w:rsidRPr="001A007A">
        <w:rPr>
          <w:i/>
          <w:iCs/>
          <w:color w:val="000000"/>
          <w:sz w:val="20"/>
          <w:szCs w:val="20"/>
          <w:vertAlign w:val="superscript"/>
        </w:rPr>
        <w:t>a</w:t>
      </w:r>
      <w:proofErr w:type="spellEnd"/>
    </w:p>
    <w:p w:rsidR="00DF5D31" w:rsidRDefault="00DF5D31" w:rsidP="00DF5D31">
      <w:pPr>
        <w:tabs>
          <w:tab w:val="left" w:pos="1080"/>
          <w:tab w:val="right" w:pos="9000"/>
        </w:tabs>
        <w:jc w:val="center"/>
        <w:rPr>
          <w:color w:val="000000"/>
          <w:sz w:val="20"/>
          <w:szCs w:val="20"/>
        </w:rPr>
      </w:pPr>
      <w:proofErr w:type="spellStart"/>
      <w:proofErr w:type="gramStart"/>
      <w:r w:rsidRPr="00415F7A">
        <w:rPr>
          <w:color w:val="000000"/>
          <w:sz w:val="20"/>
          <w:szCs w:val="20"/>
          <w:vertAlign w:val="superscript"/>
        </w:rPr>
        <w:t>a</w:t>
      </w:r>
      <w:r>
        <w:rPr>
          <w:color w:val="000000"/>
          <w:sz w:val="20"/>
          <w:szCs w:val="20"/>
        </w:rPr>
        <w:t>D</w:t>
      </w:r>
      <w:r w:rsidRPr="00415F7A">
        <w:rPr>
          <w:color w:val="000000"/>
          <w:sz w:val="20"/>
          <w:szCs w:val="20"/>
        </w:rPr>
        <w:t>epartamento</w:t>
      </w:r>
      <w:proofErr w:type="spellEnd"/>
      <w:proofErr w:type="gramEnd"/>
      <w:r>
        <w:rPr>
          <w:color w:val="000000"/>
          <w:sz w:val="20"/>
          <w:szCs w:val="20"/>
        </w:rPr>
        <w:t xml:space="preserve"> de Biotecnología</w:t>
      </w:r>
      <w:r w:rsidRPr="00415F7A">
        <w:rPr>
          <w:color w:val="000000"/>
          <w:sz w:val="20"/>
          <w:szCs w:val="20"/>
        </w:rPr>
        <w:t xml:space="preserve">, </w:t>
      </w:r>
      <w:r>
        <w:rPr>
          <w:color w:val="000000"/>
          <w:sz w:val="20"/>
          <w:szCs w:val="20"/>
        </w:rPr>
        <w:t>Universidad Autónoma de Coahuila,</w:t>
      </w:r>
      <w:r w:rsidRPr="00415F7A">
        <w:rPr>
          <w:color w:val="000000"/>
          <w:sz w:val="20"/>
          <w:szCs w:val="20"/>
        </w:rPr>
        <w:t xml:space="preserve"> </w:t>
      </w:r>
      <w:proofErr w:type="spellStart"/>
      <w:r>
        <w:rPr>
          <w:color w:val="000000"/>
          <w:sz w:val="20"/>
          <w:szCs w:val="20"/>
        </w:rPr>
        <w:t>Blvd.</w:t>
      </w:r>
      <w:proofErr w:type="spellEnd"/>
      <w:r>
        <w:rPr>
          <w:color w:val="000000"/>
          <w:sz w:val="20"/>
          <w:szCs w:val="20"/>
        </w:rPr>
        <w:t xml:space="preserve"> V. Carranza, Saltillo</w:t>
      </w:r>
      <w:r w:rsidRPr="00415F7A">
        <w:rPr>
          <w:color w:val="000000"/>
          <w:sz w:val="20"/>
          <w:szCs w:val="20"/>
        </w:rPr>
        <w:t>,</w:t>
      </w:r>
      <w:r>
        <w:rPr>
          <w:color w:val="000000"/>
          <w:sz w:val="20"/>
          <w:szCs w:val="20"/>
        </w:rPr>
        <w:t xml:space="preserve"> Coahuila, 25010</w:t>
      </w:r>
      <w:r w:rsidRPr="00415F7A">
        <w:rPr>
          <w:color w:val="000000"/>
          <w:sz w:val="20"/>
          <w:szCs w:val="20"/>
        </w:rPr>
        <w:t xml:space="preserve">, </w:t>
      </w:r>
      <w:r>
        <w:rPr>
          <w:color w:val="000000"/>
          <w:sz w:val="20"/>
          <w:szCs w:val="20"/>
        </w:rPr>
        <w:t>México</w:t>
      </w:r>
      <w:r w:rsidRPr="00415F7A">
        <w:rPr>
          <w:color w:val="000000"/>
          <w:sz w:val="20"/>
          <w:szCs w:val="20"/>
        </w:rPr>
        <w:t>.</w:t>
      </w:r>
      <w:r>
        <w:rPr>
          <w:color w:val="000000"/>
          <w:sz w:val="20"/>
          <w:szCs w:val="20"/>
        </w:rPr>
        <w:t xml:space="preserve"> tkmorales@uadec.edu.mx </w:t>
      </w:r>
    </w:p>
    <w:p w:rsidR="00DF5D31" w:rsidRDefault="00DF5D31" w:rsidP="00DF5D31">
      <w:pPr>
        <w:jc w:val="center"/>
        <w:rPr>
          <w:noProof/>
          <w:sz w:val="20"/>
          <w:szCs w:val="20"/>
          <w:lang w:val="en-US"/>
        </w:rPr>
      </w:pPr>
      <w:r>
        <w:rPr>
          <w:noProof/>
          <w:sz w:val="20"/>
          <w:szCs w:val="20"/>
          <w:lang w:val="en-US"/>
        </w:rPr>
        <w:t xml:space="preserve">Email: </w:t>
      </w:r>
      <w:hyperlink r:id="rId6" w:history="1">
        <w:r>
          <w:rPr>
            <w:rStyle w:val="Hipervnculo"/>
            <w:noProof/>
            <w:sz w:val="20"/>
            <w:szCs w:val="20"/>
            <w:lang w:val="en-US"/>
          </w:rPr>
          <w:t>leopoldo.rios@uadec.edu.mx</w:t>
        </w:r>
      </w:hyperlink>
      <w:r>
        <w:rPr>
          <w:noProof/>
          <w:sz w:val="20"/>
          <w:szCs w:val="20"/>
          <w:lang w:val="en-US"/>
        </w:rPr>
        <w:t xml:space="preserve">, </w:t>
      </w:r>
      <w:hyperlink r:id="rId7" w:history="1">
        <w:r>
          <w:rPr>
            <w:rStyle w:val="Hipervnculo"/>
            <w:noProof/>
            <w:sz w:val="20"/>
            <w:szCs w:val="20"/>
            <w:lang w:val="en-US"/>
          </w:rPr>
          <w:t>ygarza@uadec.com.mx</w:t>
        </w:r>
      </w:hyperlink>
      <w:r>
        <w:rPr>
          <w:noProof/>
          <w:sz w:val="20"/>
          <w:szCs w:val="20"/>
          <w:lang w:val="en-US"/>
        </w:rPr>
        <w:t xml:space="preserve"> </w:t>
      </w:r>
      <w:hyperlink r:id="rId8" w:history="1">
        <w:r>
          <w:rPr>
            <w:rStyle w:val="Hipervnculo"/>
            <w:noProof/>
            <w:sz w:val="20"/>
            <w:szCs w:val="20"/>
            <w:lang w:val="en-US"/>
          </w:rPr>
          <w:t>antonio.rodriguez@uadec.com.mx</w:t>
        </w:r>
      </w:hyperlink>
    </w:p>
    <w:p w:rsidR="00DF5D31" w:rsidRDefault="00187579" w:rsidP="00DF5D31">
      <w:pPr>
        <w:jc w:val="center"/>
        <w:rPr>
          <w:noProof/>
          <w:sz w:val="20"/>
          <w:szCs w:val="20"/>
          <w:lang w:val="en-US"/>
        </w:rPr>
      </w:pPr>
      <w:hyperlink r:id="rId9" w:history="1">
        <w:r w:rsidR="00DF5D31">
          <w:rPr>
            <w:rStyle w:val="Hipervnculo"/>
            <w:noProof/>
            <w:sz w:val="20"/>
            <w:szCs w:val="20"/>
            <w:lang w:val="en-US"/>
          </w:rPr>
          <w:t>deniss.diaz@uadec.com.mx</w:t>
        </w:r>
      </w:hyperlink>
    </w:p>
    <w:p w:rsidR="00DF5D31" w:rsidRPr="00A757B5" w:rsidRDefault="00DF5D31" w:rsidP="00DF5D31">
      <w:pPr>
        <w:tabs>
          <w:tab w:val="left" w:pos="1080"/>
          <w:tab w:val="right" w:pos="9000"/>
        </w:tabs>
        <w:jc w:val="center"/>
        <w:rPr>
          <w:color w:val="000000"/>
          <w:sz w:val="20"/>
          <w:szCs w:val="20"/>
          <w:lang w:val="en-US"/>
        </w:rPr>
      </w:pPr>
    </w:p>
    <w:p w:rsidR="00DF5D31" w:rsidRPr="00A757B5" w:rsidRDefault="00DF5D31" w:rsidP="00DF5D31">
      <w:pPr>
        <w:pStyle w:val="Ttulo2"/>
      </w:pPr>
      <w:proofErr w:type="spellStart"/>
      <w:r w:rsidRPr="00A757B5">
        <w:t>Resumen</w:t>
      </w:r>
      <w:proofErr w:type="spellEnd"/>
      <w:r w:rsidRPr="00A757B5">
        <w:t xml:space="preserve"> </w:t>
      </w:r>
    </w:p>
    <w:p w:rsidR="00A757B5" w:rsidRDefault="00DF5D31" w:rsidP="007E51DE">
      <w:pPr>
        <w:jc w:val="both"/>
      </w:pPr>
      <w:r>
        <w:t xml:space="preserve">En este estudio se llevó a cabo la evaluación de la producción de etanol 2G a partir de hidrolizados enzimáticos de biomasa de </w:t>
      </w:r>
      <w:r w:rsidRPr="00F13CD5">
        <w:rPr>
          <w:i/>
        </w:rPr>
        <w:t>Agave lechuguilla</w:t>
      </w:r>
      <w:r>
        <w:t xml:space="preserve"> pretratada por autohidrólisis como medio de fermentación para la producción de </w:t>
      </w:r>
      <w:proofErr w:type="spellStart"/>
      <w:r>
        <w:t>bioetanol</w:t>
      </w:r>
      <w:proofErr w:type="spellEnd"/>
      <w:r>
        <w:t xml:space="preserve"> por </w:t>
      </w:r>
      <w:proofErr w:type="spellStart"/>
      <w:r w:rsidRPr="00FB2DD5">
        <w:rPr>
          <w:i/>
        </w:rPr>
        <w:t>Sacharomyces</w:t>
      </w:r>
      <w:proofErr w:type="spellEnd"/>
      <w:r w:rsidRPr="00FB2DD5">
        <w:rPr>
          <w:i/>
        </w:rPr>
        <w:t xml:space="preserve"> </w:t>
      </w:r>
      <w:proofErr w:type="spellStart"/>
      <w:r w:rsidRPr="00FB2DD5">
        <w:rPr>
          <w:i/>
        </w:rPr>
        <w:t>cerevisae</w:t>
      </w:r>
      <w:proofErr w:type="spellEnd"/>
      <w:r>
        <w:t xml:space="preserve"> </w:t>
      </w:r>
      <w:proofErr w:type="spellStart"/>
      <w:r>
        <w:t>ATCC</w:t>
      </w:r>
      <w:proofErr w:type="spellEnd"/>
      <w:r>
        <w:t xml:space="preserve"> 4126</w:t>
      </w:r>
      <w:r w:rsidR="00260AE1">
        <w:t>, en este trabajo se abordaron diferentes configuraciones del proceso, hidrólisis y fermentación separada y sacarificación y ferment</w:t>
      </w:r>
      <w:r w:rsidR="00A757B5">
        <w:t>ación simultáneas, se realizaron</w:t>
      </w:r>
      <w:r w:rsidR="00260AE1">
        <w:t xml:space="preserve"> en con</w:t>
      </w:r>
      <w:r w:rsidR="00CC0017">
        <w:t>tenido de carga de sólidos (</w:t>
      </w:r>
      <w:r w:rsidR="00260AE1">
        <w:t>25%), los resultados muestran que la mayor concentración de etanol (</w:t>
      </w:r>
      <w:r w:rsidR="00B30AA7">
        <w:t xml:space="preserve">17.8 </w:t>
      </w:r>
      <w:r w:rsidR="00682A1A">
        <w:t xml:space="preserve">g/L) se obtuvo de la sacarificación y fermentación por </w:t>
      </w:r>
      <w:r w:rsidR="00B85620">
        <w:t>separado, a diferencia de un rendimiento de etanol de (5g/L) obtenido como resultado de la sacarificación y fermentación simultánea con una concen</w:t>
      </w:r>
      <w:r w:rsidR="00542FB9">
        <w:t xml:space="preserve">tración inicial de glucosa </w:t>
      </w:r>
      <w:r w:rsidR="00B30AA7">
        <w:t>diferente para cada tratamiento y un tiempo constante de 19 h para todos los casos.</w:t>
      </w:r>
    </w:p>
    <w:p w:rsidR="00260AE1" w:rsidRDefault="00260AE1" w:rsidP="007E51DE">
      <w:pPr>
        <w:jc w:val="both"/>
      </w:pPr>
    </w:p>
    <w:p w:rsidR="00682A1A" w:rsidRPr="00682A1A" w:rsidRDefault="00682A1A" w:rsidP="007E51DE">
      <w:pPr>
        <w:jc w:val="both"/>
        <w:rPr>
          <w:b/>
        </w:rPr>
      </w:pPr>
      <w:r w:rsidRPr="00682A1A">
        <w:rPr>
          <w:b/>
        </w:rPr>
        <w:t>Introducción</w:t>
      </w:r>
    </w:p>
    <w:p w:rsidR="008B1612" w:rsidRDefault="00682A1A" w:rsidP="008B1612">
      <w:pPr>
        <w:autoSpaceDE w:val="0"/>
        <w:autoSpaceDN w:val="0"/>
        <w:adjustRightInd w:val="0"/>
        <w:jc w:val="both"/>
      </w:pPr>
      <w:r>
        <w:t xml:space="preserve">El </w:t>
      </w:r>
      <w:r>
        <w:rPr>
          <w:i/>
        </w:rPr>
        <w:t xml:space="preserve">Agave lechuguilla </w:t>
      </w:r>
      <w:r>
        <w:t>pertenece a la familia de las agaváceas, es una planta rústica que prospera en terrenos secos áridos y montañosos, crece generalmente sobre suelos calizos, calcáreos rocosos y arcillosos.</w:t>
      </w:r>
      <w:r>
        <w:rPr>
          <w:b/>
        </w:rPr>
        <w:t xml:space="preserve"> </w:t>
      </w:r>
      <w:r>
        <w:t>[</w:t>
      </w:r>
      <w:r>
        <w:rPr>
          <w:lang w:val="es-MX"/>
        </w:rPr>
        <w:t>1</w:t>
      </w:r>
      <w:r>
        <w:t xml:space="preserve">]. Su área de distribución nacional cubre una superficie aproximada a los 20 millones de hectáreas, que corresponden a 10% del territorio; comprende los estados de Coahuila, Chihuahua, Nuevo León, Durango, San Luis </w:t>
      </w:r>
      <w:r w:rsidR="00B85620">
        <w:t xml:space="preserve">Potosí, Tamaulipas y Zacatecas </w:t>
      </w:r>
      <w:r>
        <w:t>[2].</w:t>
      </w:r>
      <w:r w:rsidR="008B1612">
        <w:t xml:space="preserve"> </w:t>
      </w:r>
      <w:r>
        <w:t xml:space="preserve">Las composiciones relativas de lignina, celulosa y hemicelulosa en algunas especies de </w:t>
      </w:r>
      <w:r>
        <w:rPr>
          <w:i/>
        </w:rPr>
        <w:t>Agave</w:t>
      </w:r>
      <w:r>
        <w:t>, nos da una proyección positiva de procesamiento en comparación con otros cultivos, mostrándonos la gran oportunidad de aprovechar la biomasa de esta planta que crece intensivamente en gran parte del Noreste de México, p</w:t>
      </w:r>
      <w:r w:rsidR="008B1612">
        <w:t>ara la producción de bioetanol.</w:t>
      </w:r>
    </w:p>
    <w:p w:rsidR="008B1612" w:rsidRDefault="00CC0017" w:rsidP="008B1612">
      <w:pPr>
        <w:jc w:val="both"/>
      </w:pPr>
      <w:r>
        <w:t>La producción de bioetanol puede llevarse a cabo bajo configuraciones de proceso diferentes, dos de ellas son la sacarificación y fermentación por separado y la sacarificación y fermentación simultáneas, de las cuales se comprobara cuál de ellas presenta una mayor productividad de etanol (PE).</w:t>
      </w:r>
    </w:p>
    <w:p w:rsidR="00CC0017" w:rsidRDefault="00CC0017" w:rsidP="008B1612">
      <w:pPr>
        <w:jc w:val="both"/>
      </w:pPr>
    </w:p>
    <w:p w:rsidR="00CC0017" w:rsidRDefault="00B85620" w:rsidP="008B1612">
      <w:pPr>
        <w:jc w:val="both"/>
        <w:rPr>
          <w:b/>
        </w:rPr>
      </w:pPr>
      <w:r w:rsidRPr="00B85620">
        <w:rPr>
          <w:b/>
        </w:rPr>
        <w:t>Metodología</w:t>
      </w:r>
    </w:p>
    <w:p w:rsidR="00050308" w:rsidRDefault="00050308" w:rsidP="008B1612">
      <w:pPr>
        <w:jc w:val="both"/>
        <w:rPr>
          <w:b/>
        </w:rPr>
      </w:pPr>
      <w:r>
        <w:rPr>
          <w:b/>
        </w:rPr>
        <w:t>Sacarificación y fermentación por separado.</w:t>
      </w:r>
    </w:p>
    <w:p w:rsidR="00B85620" w:rsidRPr="00B85620" w:rsidRDefault="00B85620" w:rsidP="00050308">
      <w:pPr>
        <w:pStyle w:val="HTMLconformatoprevio"/>
        <w:shd w:val="clear" w:color="auto" w:fill="FFFFFF"/>
        <w:jc w:val="both"/>
        <w:rPr>
          <w:rFonts w:ascii="Times New Roman" w:hAnsi="Times New Roman" w:cs="Times New Roman"/>
          <w:color w:val="212121"/>
          <w:sz w:val="24"/>
          <w:szCs w:val="24"/>
        </w:rPr>
      </w:pPr>
      <w:r w:rsidRPr="00B85620">
        <w:rPr>
          <w:rFonts w:ascii="Times New Roman" w:hAnsi="Times New Roman" w:cs="Times New Roman"/>
          <w:b/>
          <w:sz w:val="24"/>
          <w:szCs w:val="24"/>
        </w:rPr>
        <w:t>Hidrólisis:</w:t>
      </w:r>
      <w:r w:rsidRPr="00B85620">
        <w:rPr>
          <w:rFonts w:ascii="Times New Roman" w:hAnsi="Times New Roman" w:cs="Times New Roman"/>
          <w:sz w:val="24"/>
          <w:szCs w:val="24"/>
        </w:rPr>
        <w:t xml:space="preserve"> La optimización del proceso de hidrólisis de la fibra pretratada se realizó</w:t>
      </w:r>
      <w:r w:rsidR="00050308">
        <w:rPr>
          <w:rFonts w:ascii="Times New Roman" w:hAnsi="Times New Roman" w:cs="Times New Roman"/>
          <w:sz w:val="24"/>
          <w:szCs w:val="24"/>
        </w:rPr>
        <w:t xml:space="preserve"> </w:t>
      </w:r>
      <w:r w:rsidRPr="00B85620">
        <w:rPr>
          <w:rFonts w:ascii="Times New Roman" w:hAnsi="Times New Roman" w:cs="Times New Roman"/>
          <w:sz w:val="24"/>
          <w:szCs w:val="24"/>
        </w:rPr>
        <w:t xml:space="preserve">mediante el complejo enzimático comercial </w:t>
      </w:r>
      <w:r w:rsidRPr="00B85620">
        <w:rPr>
          <w:rFonts w:ascii="Times New Roman" w:hAnsi="Times New Roman" w:cs="Times New Roman"/>
          <w:color w:val="212121"/>
          <w:sz w:val="24"/>
          <w:szCs w:val="24"/>
        </w:rPr>
        <w:t xml:space="preserve">Cellic CTec3 </w:t>
      </w:r>
      <w:r w:rsidR="00050308">
        <w:rPr>
          <w:rFonts w:ascii="Times New Roman" w:hAnsi="Times New Roman" w:cs="Times New Roman"/>
          <w:color w:val="212121"/>
          <w:sz w:val="24"/>
          <w:szCs w:val="24"/>
        </w:rPr>
        <w:t>(Novozymes A / S, Dinamarca)</w:t>
      </w:r>
      <w:r w:rsidRPr="00B85620">
        <w:rPr>
          <w:rFonts w:ascii="Times New Roman" w:hAnsi="Times New Roman" w:cs="Times New Roman"/>
          <w:color w:val="212121"/>
          <w:sz w:val="24"/>
          <w:szCs w:val="24"/>
        </w:rPr>
        <w:t xml:space="preserve">, </w:t>
      </w:r>
      <w:r w:rsidR="00050308">
        <w:rPr>
          <w:rFonts w:ascii="Times New Roman" w:hAnsi="Times New Roman" w:cs="Times New Roman"/>
          <w:sz w:val="24"/>
          <w:szCs w:val="24"/>
        </w:rPr>
        <w:t xml:space="preserve">con una carga de solidos del 25 % y </w:t>
      </w:r>
      <w:r w:rsidRPr="00B85620">
        <w:rPr>
          <w:rFonts w:ascii="Times New Roman" w:hAnsi="Times New Roman" w:cs="Times New Roman"/>
          <w:sz w:val="24"/>
          <w:szCs w:val="24"/>
        </w:rPr>
        <w:t>25 FPU/</w:t>
      </w:r>
      <w:r w:rsidR="0058275D">
        <w:rPr>
          <w:rFonts w:ascii="Times New Roman" w:hAnsi="Times New Roman" w:cs="Times New Roman"/>
          <w:sz w:val="24"/>
          <w:szCs w:val="24"/>
        </w:rPr>
        <w:t xml:space="preserve"> g</w:t>
      </w:r>
      <w:r w:rsidR="00050308">
        <w:rPr>
          <w:rFonts w:ascii="Times New Roman" w:hAnsi="Times New Roman" w:cs="Times New Roman"/>
          <w:sz w:val="24"/>
          <w:szCs w:val="24"/>
        </w:rPr>
        <w:t xml:space="preserve"> de glucanos respectivamente</w:t>
      </w:r>
      <w:r w:rsidRPr="00B85620">
        <w:rPr>
          <w:rFonts w:ascii="Times New Roman" w:hAnsi="Times New Roman" w:cs="Times New Roman"/>
          <w:sz w:val="24"/>
          <w:szCs w:val="24"/>
        </w:rPr>
        <w:t xml:space="preserve">, todos los ensayos fueron </w:t>
      </w:r>
      <w:r w:rsidR="00050308">
        <w:rPr>
          <w:rFonts w:ascii="Times New Roman" w:hAnsi="Times New Roman" w:cs="Times New Roman"/>
          <w:sz w:val="24"/>
          <w:szCs w:val="24"/>
        </w:rPr>
        <w:t>realizados en matraces Erlenmeyer de 125 ml con una concentración inic</w:t>
      </w:r>
      <w:r w:rsidR="00E466B5">
        <w:rPr>
          <w:rFonts w:ascii="Times New Roman" w:hAnsi="Times New Roman" w:cs="Times New Roman"/>
          <w:sz w:val="24"/>
          <w:szCs w:val="24"/>
        </w:rPr>
        <w:t>ial de glucosa de 40</w:t>
      </w:r>
      <w:r w:rsidR="00542FB9">
        <w:rPr>
          <w:rFonts w:ascii="Times New Roman" w:hAnsi="Times New Roman" w:cs="Times New Roman"/>
          <w:sz w:val="24"/>
          <w:szCs w:val="24"/>
        </w:rPr>
        <w:t xml:space="preserve"> g/L</w:t>
      </w:r>
      <w:r w:rsidR="00050308">
        <w:rPr>
          <w:rFonts w:ascii="Times New Roman" w:hAnsi="Times New Roman" w:cs="Times New Roman"/>
          <w:sz w:val="24"/>
          <w:szCs w:val="24"/>
        </w:rPr>
        <w:t xml:space="preserve"> en un Shaker </w:t>
      </w:r>
      <w:r w:rsidR="00050308" w:rsidRPr="00050308">
        <w:rPr>
          <w:rFonts w:ascii="Times New Roman" w:hAnsi="Times New Roman" w:cs="Times New Roman"/>
          <w:color w:val="000000"/>
          <w:sz w:val="24"/>
          <w:szCs w:val="24"/>
        </w:rPr>
        <w:t>New Brunswick ™</w:t>
      </w:r>
      <w:r w:rsidR="00050308">
        <w:rPr>
          <w:rFonts w:ascii="Times New Roman" w:hAnsi="Times New Roman" w:cs="Times New Roman"/>
          <w:color w:val="000000"/>
          <w:sz w:val="24"/>
          <w:szCs w:val="24"/>
        </w:rPr>
        <w:t xml:space="preserve"> </w:t>
      </w:r>
      <w:r w:rsidR="00050308" w:rsidRPr="00050308">
        <w:rPr>
          <w:rFonts w:ascii="Times New Roman" w:hAnsi="Times New Roman" w:cs="Times New Roman"/>
          <w:color w:val="000000"/>
          <w:sz w:val="24"/>
          <w:szCs w:val="24"/>
        </w:rPr>
        <w:t>124/24R</w:t>
      </w:r>
      <w:r w:rsidR="00050308">
        <w:rPr>
          <w:rFonts w:cs="Arial"/>
          <w:color w:val="000000"/>
          <w:sz w:val="24"/>
          <w:szCs w:val="24"/>
        </w:rPr>
        <w:t xml:space="preserve"> </w:t>
      </w:r>
      <w:r w:rsidRPr="00B85620">
        <w:rPr>
          <w:rFonts w:ascii="Times New Roman" w:hAnsi="Times New Roman" w:cs="Times New Roman"/>
          <w:sz w:val="24"/>
          <w:szCs w:val="24"/>
        </w:rPr>
        <w:t>a u</w:t>
      </w:r>
      <w:r w:rsidR="00050308">
        <w:rPr>
          <w:rFonts w:ascii="Times New Roman" w:hAnsi="Times New Roman" w:cs="Times New Roman"/>
          <w:sz w:val="24"/>
          <w:szCs w:val="24"/>
        </w:rPr>
        <w:t xml:space="preserve">na velocidad de </w:t>
      </w:r>
      <w:r w:rsidR="00050308">
        <w:rPr>
          <w:rFonts w:ascii="Times New Roman" w:hAnsi="Times New Roman" w:cs="Times New Roman"/>
          <w:sz w:val="24"/>
          <w:szCs w:val="24"/>
        </w:rPr>
        <w:lastRenderedPageBreak/>
        <w:t>agitación de 200</w:t>
      </w:r>
      <w:r w:rsidRPr="00B85620">
        <w:rPr>
          <w:rFonts w:ascii="Times New Roman" w:hAnsi="Times New Roman" w:cs="Times New Roman"/>
          <w:sz w:val="24"/>
          <w:szCs w:val="24"/>
        </w:rPr>
        <w:t xml:space="preserve"> rpm, 50°C, </w:t>
      </w:r>
      <w:r w:rsidR="0058275D">
        <w:rPr>
          <w:rFonts w:ascii="Times New Roman" w:hAnsi="Times New Roman" w:cs="Times New Roman"/>
          <w:sz w:val="24"/>
          <w:szCs w:val="24"/>
        </w:rPr>
        <w:t xml:space="preserve">con una masa total de reacción de 50 g, </w:t>
      </w:r>
      <w:r w:rsidRPr="00B85620">
        <w:rPr>
          <w:rFonts w:ascii="Times New Roman" w:hAnsi="Times New Roman" w:cs="Times New Roman"/>
          <w:sz w:val="24"/>
          <w:szCs w:val="24"/>
        </w:rPr>
        <w:t>en buffer</w:t>
      </w:r>
      <w:r w:rsidR="0058275D">
        <w:rPr>
          <w:rFonts w:ascii="Times New Roman" w:hAnsi="Times New Roman" w:cs="Times New Roman"/>
          <w:sz w:val="24"/>
          <w:szCs w:val="24"/>
        </w:rPr>
        <w:t xml:space="preserve"> de citratos</w:t>
      </w:r>
      <w:r w:rsidRPr="00B85620">
        <w:rPr>
          <w:rFonts w:ascii="Times New Roman" w:hAnsi="Times New Roman" w:cs="Times New Roman"/>
          <w:sz w:val="24"/>
          <w:szCs w:val="24"/>
        </w:rPr>
        <w:t xml:space="preserve"> a pH 4.8 durante </w:t>
      </w:r>
      <w:r w:rsidR="00050308">
        <w:rPr>
          <w:rFonts w:ascii="Times New Roman" w:hAnsi="Times New Roman" w:cs="Times New Roman"/>
          <w:sz w:val="24"/>
          <w:szCs w:val="24"/>
        </w:rPr>
        <w:t>24</w:t>
      </w:r>
      <w:r w:rsidRPr="00B85620">
        <w:rPr>
          <w:rFonts w:ascii="Times New Roman" w:hAnsi="Times New Roman" w:cs="Times New Roman"/>
          <w:sz w:val="24"/>
          <w:szCs w:val="24"/>
        </w:rPr>
        <w:t>h. La variable de respuesta fue el rendimiento de hidrólisis relacionada con la concentración de glucosa liberada en los tratamientos evaluados.</w:t>
      </w:r>
    </w:p>
    <w:p w:rsidR="00B85620" w:rsidRDefault="00B85620" w:rsidP="00050308">
      <w:pPr>
        <w:jc w:val="both"/>
      </w:pPr>
      <w:r w:rsidRPr="00B85620">
        <w:rPr>
          <w:b/>
        </w:rPr>
        <w:t>Fermentación</w:t>
      </w:r>
      <w:r w:rsidRPr="00B85620">
        <w:t xml:space="preserve">: El hidrolizado procedente de </w:t>
      </w:r>
      <w:r w:rsidR="00050308">
        <w:t xml:space="preserve">la biomasa pretratada </w:t>
      </w:r>
      <w:r w:rsidRPr="00B85620">
        <w:t xml:space="preserve">fue suplementado con los nutrientes esenciales para el crecimiento de la levadura </w:t>
      </w:r>
      <w:r w:rsidRPr="00B85620">
        <w:rPr>
          <w:i/>
        </w:rPr>
        <w:t>Saccharomyces cerevisiae</w:t>
      </w:r>
      <w:r w:rsidRPr="00B85620">
        <w:t xml:space="preserve"> ATCC 4126 a un pH</w:t>
      </w:r>
      <w:r>
        <w:t xml:space="preserve"> 5.5. La fermentación fue llevada a cabo</w:t>
      </w:r>
      <w:r w:rsidR="0058275D">
        <w:t xml:space="preserve"> a 32</w:t>
      </w:r>
      <w:r>
        <w:t xml:space="preserve"> ° C y 100 rpm</w:t>
      </w:r>
      <w:r w:rsidR="00FF3C63">
        <w:t xml:space="preserve"> con un 5% de inoculo de levadura</w:t>
      </w:r>
      <w:r>
        <w:t xml:space="preserve"> durante </w:t>
      </w:r>
      <w:r w:rsidR="00050308">
        <w:t>19</w:t>
      </w:r>
      <w:r>
        <w:t xml:space="preserve"> h. Las muestras obtenidas fueron analizadas por HPLC para determina</w:t>
      </w:r>
      <w:r w:rsidR="0080672F">
        <w:t>r la concentración de</w:t>
      </w:r>
      <w:r>
        <w:t xml:space="preserve"> </w:t>
      </w:r>
      <w:r w:rsidR="00050308">
        <w:t>etanol.</w:t>
      </w:r>
    </w:p>
    <w:p w:rsidR="00050308" w:rsidRDefault="00050308" w:rsidP="00050308">
      <w:pPr>
        <w:jc w:val="both"/>
      </w:pPr>
    </w:p>
    <w:p w:rsidR="00050308" w:rsidRPr="00050308" w:rsidRDefault="00050308" w:rsidP="00050308">
      <w:pPr>
        <w:jc w:val="both"/>
        <w:rPr>
          <w:b/>
        </w:rPr>
      </w:pPr>
      <w:r w:rsidRPr="00050308">
        <w:rPr>
          <w:b/>
        </w:rPr>
        <w:t>Sacarificación y fermentación simultánea.</w:t>
      </w:r>
    </w:p>
    <w:p w:rsidR="00050308" w:rsidRPr="00050308" w:rsidRDefault="00050308" w:rsidP="00050308">
      <w:pPr>
        <w:jc w:val="both"/>
        <w:rPr>
          <w:b/>
        </w:rPr>
      </w:pPr>
      <w:r w:rsidRPr="00050308">
        <w:rPr>
          <w:b/>
        </w:rPr>
        <w:t>Hidró</w:t>
      </w:r>
      <w:r w:rsidR="00542FB9">
        <w:rPr>
          <w:b/>
        </w:rPr>
        <w:t>lisis y F</w:t>
      </w:r>
      <w:r w:rsidRPr="00050308">
        <w:rPr>
          <w:b/>
        </w:rPr>
        <w:t>ermentación</w:t>
      </w:r>
      <w:r w:rsidR="00542FB9">
        <w:rPr>
          <w:b/>
        </w:rPr>
        <w:t>:</w:t>
      </w:r>
    </w:p>
    <w:p w:rsidR="0058275D" w:rsidRDefault="00050308" w:rsidP="00050308">
      <w:pPr>
        <w:jc w:val="both"/>
        <w:rPr>
          <w:color w:val="000000"/>
        </w:rPr>
      </w:pPr>
      <w:r>
        <w:rPr>
          <w:bCs/>
          <w:lang w:val="es-MX"/>
        </w:rPr>
        <w:t xml:space="preserve">De forma similar se utilizó como sustrato la fibra pretratada de </w:t>
      </w:r>
      <w:r w:rsidRPr="00050308">
        <w:rPr>
          <w:bCs/>
          <w:i/>
          <w:lang w:val="es-MX"/>
        </w:rPr>
        <w:t>Agave lechuguilla</w:t>
      </w:r>
      <w:r>
        <w:rPr>
          <w:bCs/>
          <w:i/>
          <w:lang w:val="es-MX"/>
        </w:rPr>
        <w:t xml:space="preserve">  </w:t>
      </w:r>
      <w:r w:rsidR="0058275D">
        <w:rPr>
          <w:bCs/>
          <w:lang w:val="es-MX"/>
        </w:rPr>
        <w:t xml:space="preserve">con una carga de sólidos de 25 % y una relación E/S de 25 FPU/ g de glucano, la cual fue colocada en matraces de 125 ml a una concentración inicial de glucosa de </w:t>
      </w:r>
      <w:r w:rsidR="00E466B5">
        <w:rPr>
          <w:bCs/>
          <w:lang w:val="es-MX"/>
        </w:rPr>
        <w:t>35</w:t>
      </w:r>
      <w:r w:rsidR="00542FB9">
        <w:rPr>
          <w:bCs/>
          <w:lang w:val="es-MX"/>
        </w:rPr>
        <w:t xml:space="preserve"> </w:t>
      </w:r>
      <w:r w:rsidR="0058275D">
        <w:rPr>
          <w:bCs/>
          <w:lang w:val="es-MX"/>
        </w:rPr>
        <w:t>g/L en buffer citratos a pH de 4.8 en un vol</w:t>
      </w:r>
      <w:r w:rsidR="00542FB9">
        <w:rPr>
          <w:bCs/>
          <w:lang w:val="es-MX"/>
        </w:rPr>
        <w:t>umen total de reacción de 50 g</w:t>
      </w:r>
      <w:r w:rsidR="0058275D">
        <w:rPr>
          <w:bCs/>
          <w:lang w:val="es-MX"/>
        </w:rPr>
        <w:t xml:space="preserve"> a los cuales fueron enriquecidos con </w:t>
      </w:r>
      <w:r w:rsidR="0058275D" w:rsidRPr="00B85620">
        <w:t xml:space="preserve">los nutrientes esenciales para el crecimiento de la levadura </w:t>
      </w:r>
      <w:r w:rsidR="0058275D" w:rsidRPr="00B85620">
        <w:rPr>
          <w:i/>
        </w:rPr>
        <w:t>Saccharomyces cerevisiae</w:t>
      </w:r>
      <w:r w:rsidR="0058275D" w:rsidRPr="00B85620">
        <w:t xml:space="preserve"> ATCC 4126 a un pH</w:t>
      </w:r>
      <w:r w:rsidR="0058275D">
        <w:t xml:space="preserve"> 5.5.</w:t>
      </w:r>
      <w:r w:rsidR="00FF3C63">
        <w:t xml:space="preserve"> Inoculado al 5% del volumen total.</w:t>
      </w:r>
      <w:r w:rsidR="0058275D">
        <w:t xml:space="preserve"> La sacarificación y fermentación simultánea fue llevada a cabo a 32 °C y 150 rpm en el mismo equipo Shaker </w:t>
      </w:r>
      <w:r w:rsidR="0058275D" w:rsidRPr="00050308">
        <w:rPr>
          <w:color w:val="000000"/>
        </w:rPr>
        <w:t>New Brunswick ™</w:t>
      </w:r>
      <w:r w:rsidR="0058275D">
        <w:rPr>
          <w:color w:val="000000"/>
        </w:rPr>
        <w:t xml:space="preserve"> </w:t>
      </w:r>
      <w:r w:rsidR="0058275D" w:rsidRPr="00050308">
        <w:rPr>
          <w:color w:val="000000"/>
        </w:rPr>
        <w:t>124/24R</w:t>
      </w:r>
      <w:r w:rsidR="0058275D">
        <w:rPr>
          <w:color w:val="000000"/>
        </w:rPr>
        <w:t xml:space="preserve"> durante 19h. De igual manera las muestras resultantes fueron analizadas por HPLC para determinar la concentración de azucares y etanol correspondientes a las variables de respuesta.</w:t>
      </w:r>
    </w:p>
    <w:p w:rsidR="0058275D" w:rsidRPr="0058275D" w:rsidRDefault="0058275D" w:rsidP="00050308">
      <w:pPr>
        <w:jc w:val="both"/>
        <w:rPr>
          <w:color w:val="000000"/>
        </w:rPr>
      </w:pPr>
      <w:r>
        <w:rPr>
          <w:color w:val="000000"/>
        </w:rPr>
        <w:t xml:space="preserve">Simultáneamente se colocó una fermentación con medio estándar de </w:t>
      </w:r>
      <w:r w:rsidRPr="00B85620">
        <w:rPr>
          <w:i/>
        </w:rPr>
        <w:t>Saccharomyces cerevisiae</w:t>
      </w:r>
      <w:r w:rsidR="000B5519">
        <w:rPr>
          <w:i/>
        </w:rPr>
        <w:t xml:space="preserve"> </w:t>
      </w:r>
      <w:r>
        <w:t>tomad</w:t>
      </w:r>
      <w:r w:rsidR="000B5519">
        <w:t xml:space="preserve">o como control, el cual se corrió bajo los mismos estándares y condiciones que los tratamientos anteriores, </w:t>
      </w:r>
      <w:r w:rsidR="00E466B5">
        <w:t xml:space="preserve">con una concentración de glucosa inicial de 48 g/L, </w:t>
      </w:r>
      <w:r w:rsidR="000B5519">
        <w:t>tomando como variable de respuesta de igual maner</w:t>
      </w:r>
      <w:r w:rsidR="0080672F">
        <w:t>a la concentración de</w:t>
      </w:r>
      <w:r w:rsidR="000B5519">
        <w:t xml:space="preserve"> etanol producido.</w:t>
      </w:r>
    </w:p>
    <w:p w:rsidR="00B85620" w:rsidRPr="00B85620" w:rsidRDefault="00B85620" w:rsidP="008B1612">
      <w:pPr>
        <w:jc w:val="both"/>
        <w:rPr>
          <w:lang w:val="es-MX"/>
        </w:rPr>
      </w:pPr>
    </w:p>
    <w:tbl>
      <w:tblPr>
        <w:tblW w:w="9054" w:type="dxa"/>
        <w:tblInd w:w="-38" w:type="dxa"/>
        <w:tblCellMar>
          <w:left w:w="70" w:type="dxa"/>
          <w:right w:w="70" w:type="dxa"/>
        </w:tblCellMar>
        <w:tblLook w:val="04A0"/>
      </w:tblPr>
      <w:tblGrid>
        <w:gridCol w:w="1473"/>
        <w:gridCol w:w="7974"/>
        <w:gridCol w:w="41"/>
      </w:tblGrid>
      <w:tr w:rsidR="00542FB9" w:rsidRPr="00D72BA3" w:rsidTr="00A763E5">
        <w:trPr>
          <w:trHeight w:val="5123"/>
        </w:trPr>
        <w:tc>
          <w:tcPr>
            <w:tcW w:w="4629" w:type="dxa"/>
            <w:shd w:val="clear" w:color="auto" w:fill="auto"/>
          </w:tcPr>
          <w:p w:rsidR="00542FB9" w:rsidRDefault="00542FB9" w:rsidP="000623A1">
            <w:pPr>
              <w:jc w:val="both"/>
              <w:rPr>
                <w:b/>
                <w:bCs/>
                <w:lang w:val="es-MX"/>
              </w:rPr>
            </w:pPr>
            <w:r>
              <w:rPr>
                <w:b/>
                <w:bCs/>
                <w:lang w:val="es-MX"/>
              </w:rPr>
              <w:lastRenderedPageBreak/>
              <w:t xml:space="preserve">Resultados </w:t>
            </w:r>
          </w:p>
          <w:p w:rsidR="00542FB9" w:rsidRDefault="0080672F" w:rsidP="000401FF">
            <w:pPr>
              <w:jc w:val="both"/>
              <w:rPr>
                <w:bCs/>
                <w:lang w:val="es-MX"/>
              </w:rPr>
            </w:pPr>
            <w:r>
              <w:rPr>
                <w:bCs/>
                <w:lang w:val="es-MX"/>
              </w:rPr>
              <w:t>Los mejores resultados de etanol producido fueron</w:t>
            </w:r>
            <w:r w:rsidR="00B30AA7">
              <w:rPr>
                <w:bCs/>
                <w:lang w:val="es-MX"/>
              </w:rPr>
              <w:t xml:space="preserve"> generados en la sacarificación y fermentación por separado, mostrando un a</w:t>
            </w:r>
            <w:r w:rsidR="00542FB9">
              <w:rPr>
                <w:bCs/>
                <w:lang w:val="es-MX"/>
              </w:rPr>
              <w:t xml:space="preserve"> una máx</w:t>
            </w:r>
            <w:r>
              <w:rPr>
                <w:bCs/>
                <w:lang w:val="es-MX"/>
              </w:rPr>
              <w:t>i</w:t>
            </w:r>
            <w:r w:rsidR="00B30AA7">
              <w:rPr>
                <w:bCs/>
                <w:lang w:val="es-MX"/>
              </w:rPr>
              <w:t>ma producción de bioetanol de 17.8</w:t>
            </w:r>
            <w:r>
              <w:rPr>
                <w:bCs/>
                <w:lang w:val="es-MX"/>
              </w:rPr>
              <w:t xml:space="preserve"> </w:t>
            </w:r>
            <w:r w:rsidR="00542FB9" w:rsidRPr="00B007A0">
              <w:rPr>
                <w:bCs/>
                <w:lang w:val="es-MX"/>
              </w:rPr>
              <w:t>g/L,</w:t>
            </w:r>
            <w:r>
              <w:rPr>
                <w:bCs/>
                <w:lang w:val="es-MX"/>
              </w:rPr>
              <w:t xml:space="preserve"> </w:t>
            </w:r>
            <w:r w:rsidR="00542FB9">
              <w:rPr>
                <w:bCs/>
                <w:lang w:val="es-MX"/>
              </w:rPr>
              <w:t xml:space="preserve"> equivalente a </w:t>
            </w:r>
            <w:r w:rsidR="00B30AA7">
              <w:rPr>
                <w:bCs/>
                <w:lang w:val="es-MX"/>
              </w:rPr>
              <w:t xml:space="preserve">93 </w:t>
            </w:r>
            <w:r w:rsidR="00542FB9">
              <w:rPr>
                <w:bCs/>
                <w:lang w:val="es-MX"/>
              </w:rPr>
              <w:t>% de rendimiento de etanol.</w:t>
            </w:r>
          </w:p>
          <w:p w:rsidR="00542FB9" w:rsidRPr="00D72BA3" w:rsidRDefault="00542FB9" w:rsidP="000623A1">
            <w:pPr>
              <w:jc w:val="both"/>
              <w:rPr>
                <w:b/>
                <w:bCs/>
              </w:rPr>
            </w:pPr>
          </w:p>
        </w:tc>
        <w:tc>
          <w:tcPr>
            <w:tcW w:w="4425" w:type="dxa"/>
            <w:gridSpan w:val="2"/>
            <w:shd w:val="clear" w:color="auto" w:fill="auto"/>
          </w:tcPr>
          <w:p w:rsidR="00A763E5" w:rsidRDefault="00A763E5" w:rsidP="00A763E5">
            <w:pPr>
              <w:jc w:val="both"/>
              <w:rPr>
                <w:bCs/>
                <w:i/>
                <w:sz w:val="20"/>
                <w:szCs w:val="20"/>
                <w:lang w:val="es-MX"/>
              </w:rPr>
            </w:pPr>
          </w:p>
          <w:p w:rsidR="00A763E5" w:rsidRDefault="00A763E5" w:rsidP="00A763E5">
            <w:pPr>
              <w:jc w:val="both"/>
              <w:rPr>
                <w:bCs/>
                <w:i/>
                <w:sz w:val="20"/>
                <w:szCs w:val="20"/>
                <w:lang w:val="es-MX"/>
              </w:rPr>
            </w:pPr>
            <w:r>
              <w:rPr>
                <w:noProof/>
                <w:lang w:val="es-MX" w:eastAsia="es-MX"/>
              </w:rPr>
              <w:drawing>
                <wp:inline distT="0" distB="0" distL="0" distR="0">
                  <wp:extent cx="5000625" cy="30099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2FB9" w:rsidRPr="00D72BA3" w:rsidRDefault="00FF3C63" w:rsidP="00A763E5">
            <w:pPr>
              <w:jc w:val="both"/>
              <w:rPr>
                <w:b/>
                <w:bCs/>
              </w:rPr>
            </w:pPr>
            <w:r w:rsidRPr="000868E6">
              <w:rPr>
                <w:bCs/>
                <w:i/>
                <w:sz w:val="20"/>
                <w:szCs w:val="20"/>
                <w:lang w:val="es-MX"/>
              </w:rPr>
              <w:t>Figur</w:t>
            </w:r>
            <w:r>
              <w:rPr>
                <w:bCs/>
                <w:i/>
                <w:sz w:val="20"/>
                <w:szCs w:val="20"/>
                <w:lang w:val="es-MX"/>
              </w:rPr>
              <w:t>a</w:t>
            </w:r>
            <w:r w:rsidRPr="000868E6">
              <w:rPr>
                <w:bCs/>
                <w:i/>
                <w:sz w:val="20"/>
                <w:szCs w:val="20"/>
                <w:lang w:val="es-MX"/>
              </w:rPr>
              <w:t xml:space="preserve"> 1.- </w:t>
            </w:r>
            <w:r>
              <w:rPr>
                <w:bCs/>
                <w:i/>
                <w:sz w:val="20"/>
                <w:szCs w:val="20"/>
                <w:lang w:val="es-MX"/>
              </w:rPr>
              <w:t xml:space="preserve">Cinética de fermentación, muestra la producción de etanol </w:t>
            </w:r>
            <w:r w:rsidR="00A763E5">
              <w:rPr>
                <w:bCs/>
                <w:i/>
                <w:sz w:val="20"/>
                <w:szCs w:val="20"/>
                <w:lang w:val="es-MX"/>
              </w:rPr>
              <w:t xml:space="preserve">y la glucosa degradada </w:t>
            </w:r>
            <w:r>
              <w:rPr>
                <w:bCs/>
                <w:i/>
                <w:sz w:val="20"/>
                <w:szCs w:val="20"/>
                <w:lang w:val="es-MX"/>
              </w:rPr>
              <w:t>a las 19h de tratamiento donde,</w:t>
            </w:r>
            <w:r w:rsidR="00A763E5">
              <w:rPr>
                <w:noProof/>
                <w:lang w:val="es-MX" w:eastAsia="es-MX"/>
              </w:rPr>
              <w:t xml:space="preserve"> </w:t>
            </w:r>
            <w:r>
              <w:rPr>
                <w:bCs/>
                <w:i/>
                <w:sz w:val="20"/>
                <w:szCs w:val="20"/>
                <w:lang w:val="es-MX"/>
              </w:rPr>
              <w:t xml:space="preserve">Etanol-H </w:t>
            </w:r>
            <w:r w:rsidR="00A763E5">
              <w:rPr>
                <w:bCs/>
                <w:i/>
                <w:sz w:val="20"/>
                <w:szCs w:val="20"/>
                <w:lang w:val="es-MX"/>
              </w:rPr>
              <w:t xml:space="preserve">y Glu-H, </w:t>
            </w:r>
            <w:r>
              <w:rPr>
                <w:bCs/>
                <w:i/>
                <w:sz w:val="20"/>
                <w:szCs w:val="20"/>
                <w:lang w:val="es-MX"/>
              </w:rPr>
              <w:t>corresponde a la Sacarificación y fermentación separada, el Etanol-C</w:t>
            </w:r>
            <w:r w:rsidR="00A763E5">
              <w:rPr>
                <w:bCs/>
                <w:i/>
                <w:sz w:val="20"/>
                <w:szCs w:val="20"/>
                <w:lang w:val="es-MX"/>
              </w:rPr>
              <w:t xml:space="preserve"> y Glu-C corresponden al</w:t>
            </w:r>
            <w:r>
              <w:rPr>
                <w:bCs/>
                <w:i/>
                <w:sz w:val="20"/>
                <w:szCs w:val="20"/>
                <w:lang w:val="es-MX"/>
              </w:rPr>
              <w:t xml:space="preserve"> medio control de Sc y el Etanol-SFS</w:t>
            </w:r>
            <w:r w:rsidR="00A763E5">
              <w:rPr>
                <w:bCs/>
                <w:i/>
                <w:sz w:val="20"/>
                <w:szCs w:val="20"/>
                <w:lang w:val="es-MX"/>
              </w:rPr>
              <w:t xml:space="preserve">, Glu-SFS representan los valores obtenidos </w:t>
            </w:r>
            <w:r>
              <w:rPr>
                <w:bCs/>
                <w:i/>
                <w:sz w:val="20"/>
                <w:szCs w:val="20"/>
                <w:lang w:val="es-MX"/>
              </w:rPr>
              <w:t xml:space="preserve"> por Sacarifi</w:t>
            </w:r>
            <w:r w:rsidR="00E81A30">
              <w:rPr>
                <w:bCs/>
                <w:i/>
                <w:sz w:val="20"/>
                <w:szCs w:val="20"/>
                <w:lang w:val="es-MX"/>
              </w:rPr>
              <w:t>cación y fermentación simultánea.</w:t>
            </w:r>
            <w:r w:rsidR="00A763E5">
              <w:rPr>
                <w:noProof/>
                <w:lang w:val="es-MX" w:eastAsia="es-MX"/>
              </w:rPr>
              <w:t xml:space="preserve"> </w:t>
            </w:r>
          </w:p>
        </w:tc>
      </w:tr>
      <w:tr w:rsidR="00542FB9" w:rsidRPr="000868E6" w:rsidTr="00D27F9B">
        <w:tblPrEx>
          <w:tblCellMar>
            <w:left w:w="108" w:type="dxa"/>
            <w:right w:w="108" w:type="dxa"/>
          </w:tblCellMar>
        </w:tblPrEx>
        <w:trPr>
          <w:gridAfter w:val="1"/>
          <w:wAfter w:w="19" w:type="dxa"/>
        </w:trPr>
        <w:tc>
          <w:tcPr>
            <w:tcW w:w="4629" w:type="dxa"/>
          </w:tcPr>
          <w:p w:rsidR="00542FB9" w:rsidRPr="000868E6" w:rsidRDefault="00542FB9" w:rsidP="000623A1">
            <w:pPr>
              <w:rPr>
                <w:b/>
                <w:bCs/>
                <w:lang w:val="es-MX"/>
              </w:rPr>
            </w:pPr>
          </w:p>
        </w:tc>
        <w:tc>
          <w:tcPr>
            <w:tcW w:w="4406" w:type="dxa"/>
          </w:tcPr>
          <w:p w:rsidR="00542FB9" w:rsidRPr="000868E6" w:rsidRDefault="00FF3C63" w:rsidP="000623A1">
            <w:pPr>
              <w:jc w:val="both"/>
              <w:rPr>
                <w:b/>
                <w:bCs/>
                <w:lang w:val="es-MX"/>
              </w:rPr>
            </w:pPr>
            <w:r>
              <w:rPr>
                <w:bCs/>
                <w:i/>
                <w:sz w:val="20"/>
                <w:szCs w:val="20"/>
                <w:lang w:val="es-MX"/>
              </w:rPr>
              <w:t>.</w:t>
            </w:r>
            <w:bookmarkStart w:id="0" w:name="_GoBack"/>
            <w:bookmarkEnd w:id="0"/>
          </w:p>
        </w:tc>
      </w:tr>
      <w:tr w:rsidR="00542FB9" w:rsidRPr="000868E6" w:rsidTr="00D27F9B">
        <w:tblPrEx>
          <w:tblCellMar>
            <w:left w:w="108" w:type="dxa"/>
            <w:right w:w="108" w:type="dxa"/>
          </w:tblCellMar>
        </w:tblPrEx>
        <w:trPr>
          <w:gridAfter w:val="1"/>
          <w:wAfter w:w="19" w:type="dxa"/>
        </w:trPr>
        <w:tc>
          <w:tcPr>
            <w:tcW w:w="4629" w:type="dxa"/>
          </w:tcPr>
          <w:p w:rsidR="00B30AA7" w:rsidRDefault="00B30AA7" w:rsidP="000623A1">
            <w:pPr>
              <w:jc w:val="both"/>
              <w:rPr>
                <w:bCs/>
                <w:szCs w:val="20"/>
                <w:lang w:val="es-MX"/>
              </w:rPr>
            </w:pPr>
          </w:p>
          <w:p w:rsidR="00542FB9" w:rsidRPr="00B30AA7" w:rsidRDefault="00542FB9" w:rsidP="000623A1">
            <w:pPr>
              <w:jc w:val="both"/>
              <w:rPr>
                <w:bCs/>
                <w:szCs w:val="20"/>
                <w:lang w:val="es-MX"/>
              </w:rPr>
            </w:pPr>
          </w:p>
        </w:tc>
        <w:tc>
          <w:tcPr>
            <w:tcW w:w="4406" w:type="dxa"/>
          </w:tcPr>
          <w:p w:rsidR="00542FB9" w:rsidRPr="000868E6" w:rsidRDefault="00542FB9" w:rsidP="000623A1">
            <w:pPr>
              <w:jc w:val="both"/>
              <w:rPr>
                <w:bCs/>
                <w:i/>
                <w:sz w:val="20"/>
                <w:szCs w:val="20"/>
                <w:lang w:val="es-MX"/>
              </w:rPr>
            </w:pPr>
          </w:p>
        </w:tc>
      </w:tr>
    </w:tbl>
    <w:p w:rsidR="00B30AA7" w:rsidRDefault="00B30AA7" w:rsidP="00542FB9">
      <w:pPr>
        <w:jc w:val="both"/>
      </w:pPr>
      <w:r>
        <w:rPr>
          <w:bCs/>
          <w:lang w:val="es-MX"/>
        </w:rPr>
        <w:t xml:space="preserve">En la sacarificación y fermentación simultánea se obtuvo 5 g/L de producción de bioetanol, correspondiente a un 26% de rendimiento de etanol y el control con medio estándar de </w:t>
      </w:r>
      <w:r w:rsidRPr="00B85620">
        <w:rPr>
          <w:i/>
        </w:rPr>
        <w:t>Saccharomyces cerevisiae</w:t>
      </w:r>
      <w:r>
        <w:rPr>
          <w:i/>
        </w:rPr>
        <w:t xml:space="preserve"> </w:t>
      </w:r>
      <w:r>
        <w:t>se obtuvieron 19 g/L de etanol correspondiente a un rendimiento del  100 % a un tiempo constante de 19 h, con 25 % de sólidos y una relación E/S de 25 FPU/ g de glucano</w:t>
      </w:r>
      <w:r w:rsidR="00547F53">
        <w:t xml:space="preserve"> para todos los tratamientos.</w:t>
      </w:r>
      <w:r>
        <w:t xml:space="preserve"> </w:t>
      </w:r>
    </w:p>
    <w:p w:rsidR="00B30AA7" w:rsidRDefault="00B30AA7" w:rsidP="00542FB9">
      <w:pPr>
        <w:jc w:val="both"/>
      </w:pPr>
    </w:p>
    <w:p w:rsidR="00B30AA7" w:rsidRPr="00B30AA7" w:rsidRDefault="00B30AA7" w:rsidP="00542FB9">
      <w:pPr>
        <w:jc w:val="both"/>
        <w:rPr>
          <w:b/>
        </w:rPr>
      </w:pPr>
      <w:r w:rsidRPr="00B30AA7">
        <w:rPr>
          <w:b/>
        </w:rPr>
        <w:t>Conclusión</w:t>
      </w:r>
    </w:p>
    <w:p w:rsidR="00EC1758" w:rsidRPr="003E3553" w:rsidRDefault="003E3553" w:rsidP="00EC17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s-MX" w:eastAsia="es-MX"/>
        </w:rPr>
      </w:pPr>
      <w:r w:rsidRPr="00EC1758">
        <w:rPr>
          <w:rFonts w:eastAsia="cmr12"/>
        </w:rPr>
        <w:t xml:space="preserve">La biomasa de </w:t>
      </w:r>
      <w:r w:rsidRPr="00EC1758">
        <w:rPr>
          <w:rFonts w:eastAsia="cmr12"/>
          <w:i/>
        </w:rPr>
        <w:t>Agave lechuguilla</w:t>
      </w:r>
      <w:r w:rsidRPr="00EC1758">
        <w:rPr>
          <w:rFonts w:eastAsia="cmr12"/>
        </w:rPr>
        <w:t xml:space="preserve"> es una atractiva fuente de azucares para generar bioetanol de segunda generación. E</w:t>
      </w:r>
      <w:r w:rsidR="00547F53" w:rsidRPr="00EC1758">
        <w:rPr>
          <w:rFonts w:eastAsia="cmr12"/>
        </w:rPr>
        <w:t xml:space="preserve">n este trabajo se obtuvo un mayor rendimiento de fermentación con la sacarificación y fermentación de manera separada </w:t>
      </w:r>
      <w:r w:rsidR="00DB4D9D">
        <w:rPr>
          <w:rFonts w:eastAsia="cmr12"/>
        </w:rPr>
        <w:t xml:space="preserve">(93%), </w:t>
      </w:r>
      <w:r w:rsidR="00547F53" w:rsidRPr="00EC1758">
        <w:rPr>
          <w:rFonts w:eastAsia="cmr12"/>
        </w:rPr>
        <w:t>que en forma simultánea</w:t>
      </w:r>
      <w:r w:rsidR="00DB4D9D">
        <w:rPr>
          <w:rFonts w:eastAsia="cmr12"/>
        </w:rPr>
        <w:t xml:space="preserve"> (26%)</w:t>
      </w:r>
      <w:r w:rsidR="00547F53" w:rsidRPr="00EC1758">
        <w:rPr>
          <w:rFonts w:eastAsia="cmr12"/>
        </w:rPr>
        <w:t xml:space="preserve">, las cargas de sólidos mayores pueden limitar la viabilidad celular de </w:t>
      </w:r>
      <w:r w:rsidR="00547F53" w:rsidRPr="00EC1758">
        <w:rPr>
          <w:i/>
        </w:rPr>
        <w:t xml:space="preserve">Saccharomyces cerevisiae </w:t>
      </w:r>
      <w:r w:rsidR="00547F53" w:rsidRPr="00EC1758">
        <w:t>y someterla a condiciones de estrés</w:t>
      </w:r>
      <w:r w:rsidR="00EC1758" w:rsidRPr="00EC1758">
        <w:t>, además de la simbiosis con la que debe trabajar con el complejo enzimático</w:t>
      </w:r>
      <w:r w:rsidR="00547F53" w:rsidRPr="00EC1758">
        <w:t xml:space="preserve"> para el caso de sacarifica</w:t>
      </w:r>
      <w:r w:rsidR="00EC1758" w:rsidRPr="00EC1758">
        <w:t>ción y fermentación simultánea, mientras que en la forma separada la principal limitación para la productibilidad se</w:t>
      </w:r>
      <w:r w:rsidR="00DB4D9D">
        <w:t xml:space="preserve">rá la actuación de las enzimas. </w:t>
      </w:r>
      <w:r w:rsidR="00EC1758" w:rsidRPr="003E3553">
        <w:rPr>
          <w:color w:val="212121"/>
          <w:lang w:val="es-MX" w:eastAsia="es-MX"/>
        </w:rPr>
        <w:t>Según lo informado</w:t>
      </w:r>
      <w:r w:rsidR="00EC1758">
        <w:rPr>
          <w:color w:val="212121"/>
          <w:lang w:val="es-MX" w:eastAsia="es-MX"/>
        </w:rPr>
        <w:t xml:space="preserve"> por </w:t>
      </w:r>
      <w:proofErr w:type="spellStart"/>
      <w:r w:rsidR="00EC1758">
        <w:rPr>
          <w:color w:val="212121"/>
          <w:lang w:val="es-MX" w:eastAsia="es-MX"/>
        </w:rPr>
        <w:t>Stenberg</w:t>
      </w:r>
      <w:proofErr w:type="spellEnd"/>
      <w:r w:rsidR="00EC1758">
        <w:rPr>
          <w:color w:val="212121"/>
          <w:lang w:val="es-MX" w:eastAsia="es-MX"/>
        </w:rPr>
        <w:t xml:space="preserve"> et al. [4], </w:t>
      </w:r>
      <w:r w:rsidR="00EC1758" w:rsidRPr="003E3553">
        <w:rPr>
          <w:color w:val="212121"/>
          <w:lang w:val="es-MX" w:eastAsia="es-MX"/>
        </w:rPr>
        <w:t>demuestra que la levadura</w:t>
      </w:r>
      <w:r w:rsidR="00EC1758">
        <w:rPr>
          <w:color w:val="212121"/>
          <w:lang w:val="es-MX" w:eastAsia="es-MX"/>
        </w:rPr>
        <w:t xml:space="preserve"> es más sensible a la inhibición bajo condiciones simultáneas de sacarificación y fermentación de azucares en comparación con el proceso por separado, en </w:t>
      </w:r>
      <w:r w:rsidR="00EC1758">
        <w:rPr>
          <w:color w:val="212121"/>
          <w:lang w:val="es-MX" w:eastAsia="es-MX"/>
        </w:rPr>
        <w:lastRenderedPageBreak/>
        <w:t>el cual se trabaja de forma óptima las condiciones de funcionamiento de las enzimas y los microorganismos. Sin embargo desde el punto de vista industrial el proceso simultáneo puede crear ventajas en cuanto a tiempos de tratamiento</w:t>
      </w:r>
    </w:p>
    <w:p w:rsidR="00EC1758" w:rsidRPr="008B1612" w:rsidRDefault="00EC1758" w:rsidP="00EC1758">
      <w:pPr>
        <w:rPr>
          <w:lang w:val="es-MX"/>
        </w:rPr>
      </w:pPr>
    </w:p>
    <w:p w:rsidR="003E3553" w:rsidRPr="00EC1758" w:rsidRDefault="003E3553" w:rsidP="00542FB9">
      <w:pPr>
        <w:jc w:val="both"/>
        <w:rPr>
          <w:rFonts w:ascii="Arial" w:hAnsi="Arial"/>
          <w:lang w:val="es-MX"/>
        </w:rPr>
      </w:pPr>
    </w:p>
    <w:p w:rsidR="00542FB9" w:rsidRPr="00A2391E" w:rsidRDefault="00542FB9" w:rsidP="00542FB9">
      <w:pPr>
        <w:jc w:val="both"/>
        <w:rPr>
          <w:b/>
          <w:bCs/>
          <w:lang w:val="en-US"/>
        </w:rPr>
      </w:pPr>
      <w:proofErr w:type="spellStart"/>
      <w:proofErr w:type="gramStart"/>
      <w:r w:rsidRPr="00A2391E">
        <w:rPr>
          <w:b/>
          <w:bCs/>
          <w:lang w:val="en-US"/>
        </w:rPr>
        <w:t>Referencias</w:t>
      </w:r>
      <w:proofErr w:type="spellEnd"/>
      <w:r w:rsidRPr="00A2391E">
        <w:rPr>
          <w:b/>
          <w:bCs/>
          <w:lang w:val="en-US"/>
        </w:rPr>
        <w:t>.</w:t>
      </w:r>
      <w:proofErr w:type="gramEnd"/>
    </w:p>
    <w:p w:rsidR="00A2391E" w:rsidRDefault="00A2391E" w:rsidP="00A2391E">
      <w:pPr>
        <w:autoSpaceDE w:val="0"/>
        <w:autoSpaceDN w:val="0"/>
        <w:adjustRightInd w:val="0"/>
        <w:jc w:val="both"/>
        <w:rPr>
          <w:sz w:val="20"/>
          <w:szCs w:val="20"/>
          <w:lang w:val="es-MX"/>
        </w:rPr>
      </w:pPr>
      <w:r>
        <w:rPr>
          <w:sz w:val="20"/>
          <w:szCs w:val="20"/>
          <w:lang w:val="en-US"/>
        </w:rPr>
        <w:t>1. Hernández S.R., Eugenia C.L.C., Lourdes D.J., Socorro V</w:t>
      </w:r>
      <w:r>
        <w:rPr>
          <w:bCs/>
          <w:sz w:val="20"/>
          <w:szCs w:val="20"/>
          <w:lang w:val="en-US"/>
        </w:rPr>
        <w:t xml:space="preserve">. “Extraction and indirect quantification of </w:t>
      </w:r>
      <w:proofErr w:type="spellStart"/>
      <w:r>
        <w:rPr>
          <w:bCs/>
          <w:sz w:val="20"/>
          <w:szCs w:val="20"/>
          <w:lang w:val="en-US"/>
        </w:rPr>
        <w:t>saponins</w:t>
      </w:r>
      <w:proofErr w:type="spellEnd"/>
      <w:r>
        <w:rPr>
          <w:bCs/>
          <w:sz w:val="20"/>
          <w:szCs w:val="20"/>
          <w:lang w:val="en-US"/>
        </w:rPr>
        <w:t xml:space="preserve"> from the </w:t>
      </w:r>
      <w:r>
        <w:rPr>
          <w:bCs/>
          <w:i/>
          <w:iCs/>
          <w:sz w:val="20"/>
          <w:szCs w:val="20"/>
          <w:lang w:val="en-US"/>
        </w:rPr>
        <w:t xml:space="preserve">Agave </w:t>
      </w:r>
      <w:proofErr w:type="spellStart"/>
      <w:r>
        <w:rPr>
          <w:bCs/>
          <w:i/>
          <w:iCs/>
          <w:sz w:val="20"/>
          <w:szCs w:val="20"/>
          <w:lang w:val="en-US"/>
        </w:rPr>
        <w:t>lechuguilla</w:t>
      </w:r>
      <w:proofErr w:type="spellEnd"/>
      <w:r>
        <w:rPr>
          <w:bCs/>
          <w:i/>
          <w:iCs/>
          <w:sz w:val="20"/>
          <w:szCs w:val="20"/>
          <w:lang w:val="en-US"/>
        </w:rPr>
        <w:t xml:space="preserve"> </w:t>
      </w:r>
      <w:r>
        <w:rPr>
          <w:bCs/>
          <w:sz w:val="20"/>
          <w:szCs w:val="20"/>
          <w:lang w:val="en-US"/>
        </w:rPr>
        <w:t xml:space="preserve">Torrey”. </w:t>
      </w:r>
      <w:r>
        <w:rPr>
          <w:i/>
          <w:sz w:val="20"/>
          <w:szCs w:val="20"/>
        </w:rPr>
        <w:t xml:space="preserve">Red de Revistas Científicas de América Latina, el Caribe, España y Portugal. </w:t>
      </w:r>
      <w:proofErr w:type="spellStart"/>
      <w:r>
        <w:rPr>
          <w:i/>
          <w:sz w:val="20"/>
          <w:szCs w:val="20"/>
        </w:rPr>
        <w:t>Redacy</w:t>
      </w:r>
      <w:proofErr w:type="spellEnd"/>
      <w:r>
        <w:rPr>
          <w:sz w:val="20"/>
          <w:szCs w:val="20"/>
          <w:lang w:val="es-MX"/>
        </w:rPr>
        <w:t xml:space="preserve">, </w:t>
      </w:r>
      <w:r>
        <w:rPr>
          <w:sz w:val="20"/>
          <w:szCs w:val="20"/>
        </w:rPr>
        <w:t>3</w:t>
      </w:r>
      <w:r>
        <w:rPr>
          <w:sz w:val="20"/>
          <w:szCs w:val="20"/>
          <w:lang w:val="es-MX"/>
        </w:rPr>
        <w:t xml:space="preserve">, </w:t>
      </w:r>
      <w:r>
        <w:rPr>
          <w:sz w:val="20"/>
          <w:szCs w:val="20"/>
        </w:rPr>
        <w:t>1</w:t>
      </w:r>
      <w:r>
        <w:rPr>
          <w:sz w:val="20"/>
          <w:szCs w:val="20"/>
          <w:lang w:val="es-MX"/>
        </w:rPr>
        <w:t>-</w:t>
      </w:r>
      <w:r>
        <w:rPr>
          <w:sz w:val="20"/>
          <w:szCs w:val="20"/>
        </w:rPr>
        <w:t>9. (2005).</w:t>
      </w:r>
    </w:p>
    <w:p w:rsidR="00A2391E" w:rsidRPr="000401FF" w:rsidRDefault="00A2391E" w:rsidP="00A2391E">
      <w:pPr>
        <w:autoSpaceDE w:val="0"/>
        <w:autoSpaceDN w:val="0"/>
        <w:adjustRightInd w:val="0"/>
        <w:jc w:val="both"/>
        <w:rPr>
          <w:i/>
          <w:iCs/>
          <w:sz w:val="20"/>
          <w:szCs w:val="20"/>
          <w:lang w:val="es-MX"/>
        </w:rPr>
      </w:pPr>
      <w:r>
        <w:rPr>
          <w:sz w:val="20"/>
          <w:szCs w:val="20"/>
        </w:rPr>
        <w:t>2. Mares A.O., Villavicencio G.E. E. “Lechuguilla (</w:t>
      </w:r>
      <w:r>
        <w:rPr>
          <w:i/>
          <w:iCs/>
          <w:sz w:val="20"/>
          <w:szCs w:val="20"/>
        </w:rPr>
        <w:t xml:space="preserve">Agave lechuguilla </w:t>
      </w:r>
      <w:r>
        <w:rPr>
          <w:sz w:val="20"/>
          <w:szCs w:val="20"/>
        </w:rPr>
        <w:t xml:space="preserve">Torr.) </w:t>
      </w:r>
      <w:proofErr w:type="gramStart"/>
      <w:r>
        <w:rPr>
          <w:sz w:val="20"/>
          <w:szCs w:val="20"/>
        </w:rPr>
        <w:t>planta</w:t>
      </w:r>
      <w:proofErr w:type="gramEnd"/>
      <w:r>
        <w:rPr>
          <w:sz w:val="20"/>
          <w:szCs w:val="20"/>
        </w:rPr>
        <w:t xml:space="preserve"> suculenta de importancia económica y social</w:t>
      </w:r>
      <w:r>
        <w:rPr>
          <w:i/>
          <w:iCs/>
          <w:sz w:val="20"/>
          <w:szCs w:val="20"/>
        </w:rPr>
        <w:t xml:space="preserve"> </w:t>
      </w:r>
      <w:r>
        <w:rPr>
          <w:sz w:val="20"/>
          <w:szCs w:val="20"/>
        </w:rPr>
        <w:t xml:space="preserve">de las zonas áridas y semiáridas de México”. </w:t>
      </w:r>
      <w:r w:rsidRPr="000401FF">
        <w:rPr>
          <w:i/>
          <w:sz w:val="20"/>
          <w:szCs w:val="20"/>
          <w:lang w:val="es-MX"/>
        </w:rPr>
        <w:t>Boletín de la Sociedad</w:t>
      </w:r>
      <w:r w:rsidRPr="000401FF">
        <w:rPr>
          <w:i/>
          <w:iCs/>
          <w:sz w:val="20"/>
          <w:szCs w:val="20"/>
          <w:lang w:val="es-MX"/>
        </w:rPr>
        <w:t xml:space="preserve"> </w:t>
      </w:r>
      <w:r w:rsidRPr="000401FF">
        <w:rPr>
          <w:i/>
          <w:sz w:val="20"/>
          <w:szCs w:val="20"/>
          <w:lang w:val="es-MX"/>
        </w:rPr>
        <w:t>de Cactáceas y Suculentas</w:t>
      </w:r>
      <w:r w:rsidRPr="000401FF">
        <w:rPr>
          <w:sz w:val="20"/>
          <w:szCs w:val="20"/>
          <w:lang w:val="es-MX"/>
        </w:rPr>
        <w:t>. 23 p.</w:t>
      </w:r>
      <w:r w:rsidRPr="000401FF">
        <w:rPr>
          <w:i/>
          <w:iCs/>
          <w:sz w:val="20"/>
          <w:szCs w:val="20"/>
          <w:lang w:val="es-MX"/>
        </w:rPr>
        <w:t xml:space="preserve"> </w:t>
      </w:r>
      <w:r w:rsidRPr="000401FF">
        <w:rPr>
          <w:iCs/>
          <w:sz w:val="20"/>
          <w:szCs w:val="20"/>
          <w:lang w:val="es-MX"/>
        </w:rPr>
        <w:t>(</w:t>
      </w:r>
      <w:r w:rsidRPr="000401FF">
        <w:rPr>
          <w:sz w:val="20"/>
          <w:szCs w:val="20"/>
          <w:lang w:val="es-MX"/>
        </w:rPr>
        <w:t>2011).</w:t>
      </w:r>
    </w:p>
    <w:p w:rsidR="00A2391E" w:rsidRPr="00EC1758" w:rsidRDefault="00A2391E" w:rsidP="00EC1758">
      <w:pPr>
        <w:autoSpaceDE w:val="0"/>
        <w:autoSpaceDN w:val="0"/>
        <w:adjustRightInd w:val="0"/>
        <w:jc w:val="both"/>
        <w:rPr>
          <w:rFonts w:eastAsia="AdvGulliv-R"/>
          <w:sz w:val="20"/>
          <w:szCs w:val="20"/>
          <w:lang w:val="en-US"/>
        </w:rPr>
      </w:pPr>
      <w:r w:rsidRPr="000401FF">
        <w:rPr>
          <w:rFonts w:eastAsia="AdvGulliv-R"/>
          <w:sz w:val="20"/>
          <w:szCs w:val="20"/>
          <w:lang w:val="es-MX"/>
        </w:rPr>
        <w:t>3</w:t>
      </w:r>
      <w:r w:rsidR="00EC1758" w:rsidRPr="000401FF">
        <w:rPr>
          <w:rFonts w:eastAsia="AdvGulliv-R"/>
          <w:sz w:val="20"/>
          <w:szCs w:val="20"/>
          <w:lang w:val="es-MX"/>
        </w:rPr>
        <w:t xml:space="preserve">. </w:t>
      </w:r>
      <w:r w:rsidRPr="000401FF">
        <w:rPr>
          <w:rFonts w:eastAsia="AdvGulliv-R"/>
          <w:sz w:val="20"/>
          <w:szCs w:val="20"/>
          <w:lang w:val="es-MX"/>
        </w:rPr>
        <w:t xml:space="preserve">Satu Sipponen 1, Mika H. Sipponen, Ossi Pastinen, Simo Laakso. </w:t>
      </w:r>
      <w:r>
        <w:rPr>
          <w:rFonts w:eastAsia="AdvGulliv-R"/>
          <w:sz w:val="20"/>
          <w:szCs w:val="20"/>
          <w:lang w:val="en-US"/>
        </w:rPr>
        <w:t xml:space="preserve">Enzymatic </w:t>
      </w:r>
      <w:proofErr w:type="spellStart"/>
      <w:r>
        <w:rPr>
          <w:rFonts w:eastAsia="AdvGulliv-R"/>
          <w:sz w:val="20"/>
          <w:szCs w:val="20"/>
          <w:lang w:val="en-US"/>
        </w:rPr>
        <w:t>saccharification</w:t>
      </w:r>
      <w:proofErr w:type="spellEnd"/>
      <w:r>
        <w:rPr>
          <w:rFonts w:eastAsia="AdvGulliv-R"/>
          <w:sz w:val="20"/>
          <w:szCs w:val="20"/>
          <w:lang w:val="en-US"/>
        </w:rPr>
        <w:t xml:space="preserve"> </w:t>
      </w:r>
      <w:proofErr w:type="gramStart"/>
      <w:r>
        <w:rPr>
          <w:rFonts w:eastAsia="AdvGulliv-R"/>
          <w:sz w:val="20"/>
          <w:szCs w:val="20"/>
          <w:lang w:val="en-US"/>
        </w:rPr>
        <w:t>of  pretreated</w:t>
      </w:r>
      <w:proofErr w:type="gramEnd"/>
      <w:r>
        <w:rPr>
          <w:rFonts w:eastAsia="AdvGulliv-R"/>
          <w:sz w:val="20"/>
          <w:szCs w:val="20"/>
          <w:lang w:val="en-US"/>
        </w:rPr>
        <w:t xml:space="preserve"> wheat straw: Comparison of solids-recycling, sequential hydrolysis and batch hydrolysis. </w:t>
      </w:r>
      <w:proofErr w:type="spellStart"/>
      <w:r>
        <w:rPr>
          <w:rFonts w:eastAsia="AdvGulliv-R"/>
          <w:i/>
          <w:sz w:val="20"/>
          <w:szCs w:val="20"/>
          <w:lang w:val="en-US"/>
        </w:rPr>
        <w:t>Bioresource</w:t>
      </w:r>
      <w:proofErr w:type="spellEnd"/>
      <w:r>
        <w:rPr>
          <w:rFonts w:eastAsia="AdvGulliv-R"/>
          <w:i/>
          <w:sz w:val="20"/>
          <w:szCs w:val="20"/>
          <w:lang w:val="en-US"/>
        </w:rPr>
        <w:t xml:space="preserve"> </w:t>
      </w:r>
      <w:r w:rsidRPr="00EC1758">
        <w:rPr>
          <w:rFonts w:eastAsia="AdvGulliv-R"/>
          <w:i/>
          <w:sz w:val="20"/>
          <w:szCs w:val="20"/>
          <w:lang w:val="en-US"/>
        </w:rPr>
        <w:t>Technology</w:t>
      </w:r>
      <w:r w:rsidRPr="00EC1758">
        <w:rPr>
          <w:rFonts w:eastAsia="AdvGulliv-R"/>
          <w:sz w:val="20"/>
          <w:szCs w:val="20"/>
          <w:lang w:val="en-US"/>
        </w:rPr>
        <w:t xml:space="preserve"> 153 15–22. (2014)</w:t>
      </w:r>
    </w:p>
    <w:p w:rsidR="00EC1758" w:rsidRPr="00EC1758" w:rsidRDefault="00EC1758" w:rsidP="00EC1758">
      <w:pPr>
        <w:autoSpaceDE w:val="0"/>
        <w:autoSpaceDN w:val="0"/>
        <w:adjustRightInd w:val="0"/>
        <w:jc w:val="both"/>
        <w:rPr>
          <w:rFonts w:eastAsia="AdvGulliv-R"/>
          <w:color w:val="0080AE"/>
          <w:sz w:val="20"/>
          <w:szCs w:val="20"/>
          <w:lang w:val="en-US" w:eastAsia="en-US"/>
        </w:rPr>
      </w:pPr>
      <w:r w:rsidRPr="00EC1758">
        <w:rPr>
          <w:rFonts w:eastAsia="AdvGulliv-R"/>
          <w:sz w:val="20"/>
          <w:szCs w:val="20"/>
          <w:lang w:val="en-US" w:eastAsia="en-US"/>
        </w:rPr>
        <w:t xml:space="preserve">4. Stenberg K, </w:t>
      </w:r>
      <w:proofErr w:type="spellStart"/>
      <w:r w:rsidRPr="00EC1758">
        <w:rPr>
          <w:rFonts w:eastAsia="AdvGulliv-R"/>
          <w:sz w:val="20"/>
          <w:szCs w:val="20"/>
          <w:lang w:val="en-US" w:eastAsia="en-US"/>
        </w:rPr>
        <w:t>Bollók</w:t>
      </w:r>
      <w:proofErr w:type="spellEnd"/>
      <w:r w:rsidRPr="00EC1758">
        <w:rPr>
          <w:rFonts w:eastAsia="AdvGulliv-R"/>
          <w:sz w:val="20"/>
          <w:szCs w:val="20"/>
          <w:lang w:val="en-US" w:eastAsia="en-US"/>
        </w:rPr>
        <w:t xml:space="preserve"> M, </w:t>
      </w:r>
      <w:proofErr w:type="spellStart"/>
      <w:r w:rsidRPr="00EC1758">
        <w:rPr>
          <w:rFonts w:eastAsia="AdvGulliv-R"/>
          <w:sz w:val="20"/>
          <w:szCs w:val="20"/>
          <w:lang w:val="en-US" w:eastAsia="en-US"/>
        </w:rPr>
        <w:t>Réczey</w:t>
      </w:r>
      <w:proofErr w:type="spellEnd"/>
      <w:r w:rsidRPr="00EC1758">
        <w:rPr>
          <w:rFonts w:eastAsia="AdvGulliv-R"/>
          <w:sz w:val="20"/>
          <w:szCs w:val="20"/>
          <w:lang w:val="en-US" w:eastAsia="en-US"/>
        </w:rPr>
        <w:t xml:space="preserve"> K, </w:t>
      </w:r>
      <w:proofErr w:type="spellStart"/>
      <w:r w:rsidRPr="00EC1758">
        <w:rPr>
          <w:rFonts w:eastAsia="AdvGulliv-R"/>
          <w:sz w:val="20"/>
          <w:szCs w:val="20"/>
          <w:lang w:val="en-US" w:eastAsia="en-US"/>
        </w:rPr>
        <w:t>Galbe</w:t>
      </w:r>
      <w:proofErr w:type="spellEnd"/>
      <w:r w:rsidRPr="00EC1758">
        <w:rPr>
          <w:rFonts w:eastAsia="AdvGulliv-R"/>
          <w:sz w:val="20"/>
          <w:szCs w:val="20"/>
          <w:lang w:val="en-US" w:eastAsia="en-US"/>
        </w:rPr>
        <w:t xml:space="preserve"> M, </w:t>
      </w:r>
      <w:proofErr w:type="spellStart"/>
      <w:r w:rsidRPr="00EC1758">
        <w:rPr>
          <w:rFonts w:eastAsia="AdvGulliv-R"/>
          <w:sz w:val="20"/>
          <w:szCs w:val="20"/>
          <w:lang w:val="en-US" w:eastAsia="en-US"/>
        </w:rPr>
        <w:t>Zacchi</w:t>
      </w:r>
      <w:proofErr w:type="spellEnd"/>
      <w:r w:rsidRPr="00EC1758">
        <w:rPr>
          <w:rFonts w:eastAsia="AdvGulliv-R"/>
          <w:sz w:val="20"/>
          <w:szCs w:val="20"/>
          <w:lang w:val="en-US" w:eastAsia="en-US"/>
        </w:rPr>
        <w:t xml:space="preserve"> G. Effect of substrate and </w:t>
      </w:r>
      <w:proofErr w:type="spellStart"/>
      <w:r w:rsidRPr="00EC1758">
        <w:rPr>
          <w:rFonts w:eastAsia="AdvGulliv-R"/>
          <w:sz w:val="20"/>
          <w:szCs w:val="20"/>
          <w:lang w:val="en-US" w:eastAsia="en-US"/>
        </w:rPr>
        <w:t>cellulase</w:t>
      </w:r>
      <w:proofErr w:type="spellEnd"/>
      <w:r w:rsidRPr="00EC1758">
        <w:rPr>
          <w:rFonts w:eastAsia="AdvGulliv-R"/>
          <w:sz w:val="20"/>
          <w:szCs w:val="20"/>
          <w:lang w:val="en-US" w:eastAsia="en-US"/>
        </w:rPr>
        <w:t xml:space="preserve"> concentration on simultaneous </w:t>
      </w:r>
      <w:proofErr w:type="spellStart"/>
      <w:r w:rsidRPr="00EC1758">
        <w:rPr>
          <w:rFonts w:eastAsia="AdvGulliv-R"/>
          <w:sz w:val="20"/>
          <w:szCs w:val="20"/>
          <w:lang w:val="en-US" w:eastAsia="en-US"/>
        </w:rPr>
        <w:t>saccharification</w:t>
      </w:r>
      <w:proofErr w:type="spellEnd"/>
      <w:r w:rsidRPr="00EC1758">
        <w:rPr>
          <w:rFonts w:eastAsia="AdvGulliv-R"/>
          <w:sz w:val="20"/>
          <w:szCs w:val="20"/>
          <w:lang w:val="en-US" w:eastAsia="en-US"/>
        </w:rPr>
        <w:t xml:space="preserve"> and fermentation of steam-pretreated softwood for ethanol production. </w:t>
      </w:r>
      <w:proofErr w:type="spellStart"/>
      <w:r w:rsidRPr="00EC1758">
        <w:rPr>
          <w:rFonts w:eastAsia="AdvGulliv-R"/>
          <w:sz w:val="20"/>
          <w:szCs w:val="20"/>
          <w:lang w:val="en-US" w:eastAsia="en-US"/>
        </w:rPr>
        <w:t>Biotechnol</w:t>
      </w:r>
      <w:proofErr w:type="spellEnd"/>
      <w:r w:rsidRPr="00EC1758">
        <w:rPr>
          <w:rFonts w:eastAsia="AdvGulliv-R"/>
          <w:sz w:val="20"/>
          <w:szCs w:val="20"/>
          <w:lang w:val="en-US" w:eastAsia="en-US"/>
        </w:rPr>
        <w:t xml:space="preserve"> </w:t>
      </w:r>
      <w:proofErr w:type="spellStart"/>
      <w:r w:rsidRPr="00EC1758">
        <w:rPr>
          <w:rFonts w:eastAsia="AdvGulliv-R"/>
          <w:sz w:val="20"/>
          <w:szCs w:val="20"/>
          <w:lang w:val="en-US" w:eastAsia="en-US"/>
        </w:rPr>
        <w:t>Bioeng</w:t>
      </w:r>
      <w:proofErr w:type="spellEnd"/>
      <w:r w:rsidRPr="00EC1758">
        <w:rPr>
          <w:rFonts w:eastAsia="AdvGulliv-R"/>
          <w:sz w:val="20"/>
          <w:szCs w:val="20"/>
          <w:lang w:val="en-US" w:eastAsia="en-US"/>
        </w:rPr>
        <w:t xml:space="preserve"> 2000</w:t>
      </w:r>
      <w:proofErr w:type="gramStart"/>
      <w:r w:rsidRPr="00EC1758">
        <w:rPr>
          <w:rFonts w:eastAsia="AdvGulliv-R"/>
          <w:sz w:val="20"/>
          <w:szCs w:val="20"/>
          <w:lang w:val="en-US" w:eastAsia="en-US"/>
        </w:rPr>
        <w:t>;68:204</w:t>
      </w:r>
      <w:proofErr w:type="gramEnd"/>
      <w:r w:rsidRPr="00EC1758">
        <w:rPr>
          <w:rFonts w:eastAsia="AdvGulliv-R"/>
          <w:sz w:val="20"/>
          <w:szCs w:val="20"/>
          <w:lang w:val="en-US" w:eastAsia="en-US"/>
        </w:rPr>
        <w:t>–10</w:t>
      </w:r>
      <w:r w:rsidRPr="00EC1758">
        <w:rPr>
          <w:rFonts w:ascii="AdvGulliv-R" w:eastAsia="AdvGulliv-R" w:hAnsiTheme="minorHAnsi" w:cs="AdvGulliv-R"/>
          <w:color w:val="000000"/>
          <w:sz w:val="20"/>
          <w:szCs w:val="20"/>
          <w:lang w:val="en-US" w:eastAsia="en-US"/>
        </w:rPr>
        <w:t>.</w:t>
      </w:r>
    </w:p>
    <w:p w:rsidR="00CC0017" w:rsidRPr="00EC1758" w:rsidRDefault="00CC0017" w:rsidP="008B1612">
      <w:pPr>
        <w:jc w:val="both"/>
        <w:rPr>
          <w:lang w:val="en-US"/>
        </w:rPr>
      </w:pPr>
    </w:p>
    <w:p w:rsidR="00A2391E" w:rsidRPr="00EC1758" w:rsidRDefault="00A2391E" w:rsidP="008B1612">
      <w:pPr>
        <w:jc w:val="both"/>
        <w:rPr>
          <w:lang w:val="en-US"/>
        </w:rPr>
      </w:pPr>
    </w:p>
    <w:p w:rsidR="008B1612" w:rsidRPr="00EC1758" w:rsidRDefault="008B1612">
      <w:pPr>
        <w:rPr>
          <w:lang w:val="en-US"/>
        </w:rPr>
      </w:pPr>
    </w:p>
    <w:sectPr w:rsidR="008B1612" w:rsidRPr="00EC1758" w:rsidSect="00187579">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AB6" w:rsidRDefault="009E7AB6" w:rsidP="009E7AB6">
      <w:r>
        <w:separator/>
      </w:r>
    </w:p>
  </w:endnote>
  <w:endnote w:type="continuationSeparator" w:id="0">
    <w:p w:rsidR="009E7AB6" w:rsidRDefault="009E7AB6" w:rsidP="009E7A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mr12">
    <w:charset w:val="00"/>
    <w:family w:val="swiss"/>
    <w:pitch w:val="variable"/>
    <w:sig w:usb0="00000003" w:usb1="00000000" w:usb2="00000000" w:usb3="00000000" w:csb0="00000001" w:csb1="00000000"/>
  </w:font>
  <w:font w:name="AdvGulliv-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B6" w:rsidRDefault="009E7AB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B6" w:rsidRDefault="009E7AB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B6" w:rsidRDefault="009E7AB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AB6" w:rsidRDefault="009E7AB6" w:rsidP="009E7AB6">
      <w:r>
        <w:separator/>
      </w:r>
    </w:p>
  </w:footnote>
  <w:footnote w:type="continuationSeparator" w:id="0">
    <w:p w:rsidR="009E7AB6" w:rsidRDefault="009E7AB6" w:rsidP="009E7A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B6" w:rsidRDefault="009E7AB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B6" w:rsidRDefault="009E7AB6">
    <w:pPr>
      <w:pStyle w:val="Encabezado"/>
    </w:pPr>
    <w:r>
      <w:rPr>
        <w:noProof/>
        <w:lang w:val="es-MX" w:eastAsia="es-MX"/>
      </w:rPr>
      <w:drawing>
        <wp:inline distT="0" distB="0" distL="0" distR="0">
          <wp:extent cx="5612130" cy="1145140"/>
          <wp:effectExtent l="19050" t="0" r="7620" b="0"/>
          <wp:docPr id="2"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612130" cy="11451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AB6" w:rsidRDefault="009E7AB6">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F5D31"/>
    <w:rsid w:val="000401FF"/>
    <w:rsid w:val="00050308"/>
    <w:rsid w:val="000B5519"/>
    <w:rsid w:val="001471F9"/>
    <w:rsid w:val="001822FD"/>
    <w:rsid w:val="00187579"/>
    <w:rsid w:val="00260AE1"/>
    <w:rsid w:val="003E3553"/>
    <w:rsid w:val="004C2CA4"/>
    <w:rsid w:val="00542FB9"/>
    <w:rsid w:val="00547F53"/>
    <w:rsid w:val="0058275D"/>
    <w:rsid w:val="00682A1A"/>
    <w:rsid w:val="007E51DE"/>
    <w:rsid w:val="0080672F"/>
    <w:rsid w:val="008B1612"/>
    <w:rsid w:val="008D0907"/>
    <w:rsid w:val="00991F58"/>
    <w:rsid w:val="009E7AB6"/>
    <w:rsid w:val="00A2391E"/>
    <w:rsid w:val="00A757B5"/>
    <w:rsid w:val="00A763E5"/>
    <w:rsid w:val="00B30AA7"/>
    <w:rsid w:val="00B85620"/>
    <w:rsid w:val="00BC62EE"/>
    <w:rsid w:val="00CC0017"/>
    <w:rsid w:val="00D27F9B"/>
    <w:rsid w:val="00DB4D9D"/>
    <w:rsid w:val="00DF5D31"/>
    <w:rsid w:val="00E466B5"/>
    <w:rsid w:val="00E81A30"/>
    <w:rsid w:val="00E90642"/>
    <w:rsid w:val="00EC1758"/>
    <w:rsid w:val="00FB3818"/>
    <w:rsid w:val="00FF3C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D3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DF5D31"/>
    <w:pPr>
      <w:keepNext/>
      <w:jc w:val="both"/>
      <w:outlineLvl w:val="1"/>
    </w:pPr>
    <w:rPr>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semiHidden/>
    <w:rsid w:val="00DF5D31"/>
    <w:pPr>
      <w:jc w:val="center"/>
    </w:pPr>
    <w:rPr>
      <w:b/>
      <w:bCs/>
      <w:lang w:val="en-US"/>
    </w:rPr>
  </w:style>
  <w:style w:type="character" w:customStyle="1" w:styleId="Textoindependiente2Car">
    <w:name w:val="Texto independiente 2 Car"/>
    <w:basedOn w:val="Fuentedeprrafopredeter"/>
    <w:link w:val="Textoindependiente2"/>
    <w:semiHidden/>
    <w:rsid w:val="00DF5D31"/>
    <w:rPr>
      <w:rFonts w:ascii="Times New Roman" w:eastAsia="Times New Roman" w:hAnsi="Times New Roman" w:cs="Times New Roman"/>
      <w:b/>
      <w:bCs/>
      <w:sz w:val="24"/>
      <w:szCs w:val="24"/>
      <w:lang w:val="en-US" w:eastAsia="es-ES"/>
    </w:rPr>
  </w:style>
  <w:style w:type="character" w:styleId="Hipervnculo">
    <w:name w:val="Hyperlink"/>
    <w:basedOn w:val="Fuentedeprrafopredeter"/>
    <w:uiPriority w:val="99"/>
    <w:semiHidden/>
    <w:unhideWhenUsed/>
    <w:rsid w:val="00DF5D31"/>
    <w:rPr>
      <w:color w:val="0000FF" w:themeColor="hyperlink"/>
      <w:u w:val="single"/>
    </w:rPr>
  </w:style>
  <w:style w:type="character" w:customStyle="1" w:styleId="Ttulo2Car">
    <w:name w:val="Título 2 Car"/>
    <w:basedOn w:val="Fuentedeprrafopredeter"/>
    <w:link w:val="Ttulo2"/>
    <w:rsid w:val="00DF5D31"/>
    <w:rPr>
      <w:rFonts w:ascii="Times New Roman" w:eastAsia="Times New Roman" w:hAnsi="Times New Roman" w:cs="Times New Roman"/>
      <w:b/>
      <w:bCs/>
      <w:sz w:val="24"/>
      <w:szCs w:val="24"/>
      <w:lang w:val="en-US" w:eastAsia="es-ES"/>
    </w:rPr>
  </w:style>
  <w:style w:type="paragraph" w:styleId="HTMLconformatoprevio">
    <w:name w:val="HTML Preformatted"/>
    <w:basedOn w:val="Normal"/>
    <w:link w:val="HTMLconformatoprevioCar"/>
    <w:uiPriority w:val="99"/>
    <w:unhideWhenUsed/>
    <w:rsid w:val="004C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4C2CA4"/>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8D0907"/>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907"/>
    <w:rPr>
      <w:rFonts w:ascii="Tahoma" w:eastAsia="Times New Roman" w:hAnsi="Tahoma" w:cs="Tahoma"/>
      <w:sz w:val="16"/>
      <w:szCs w:val="16"/>
      <w:lang w:val="es-ES" w:eastAsia="es-ES"/>
    </w:rPr>
  </w:style>
  <w:style w:type="paragraph" w:styleId="Encabezado">
    <w:name w:val="header"/>
    <w:basedOn w:val="Normal"/>
    <w:link w:val="EncabezadoCar"/>
    <w:uiPriority w:val="99"/>
    <w:semiHidden/>
    <w:unhideWhenUsed/>
    <w:rsid w:val="009E7AB6"/>
    <w:pPr>
      <w:tabs>
        <w:tab w:val="center" w:pos="4419"/>
        <w:tab w:val="right" w:pos="8838"/>
      </w:tabs>
    </w:pPr>
  </w:style>
  <w:style w:type="character" w:customStyle="1" w:styleId="EncabezadoCar">
    <w:name w:val="Encabezado Car"/>
    <w:basedOn w:val="Fuentedeprrafopredeter"/>
    <w:link w:val="Encabezado"/>
    <w:uiPriority w:val="99"/>
    <w:semiHidden/>
    <w:rsid w:val="009E7AB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9E7AB6"/>
    <w:pPr>
      <w:tabs>
        <w:tab w:val="center" w:pos="4419"/>
        <w:tab w:val="right" w:pos="8838"/>
      </w:tabs>
    </w:pPr>
  </w:style>
  <w:style w:type="character" w:customStyle="1" w:styleId="PiedepginaCar">
    <w:name w:val="Pie de página Car"/>
    <w:basedOn w:val="Fuentedeprrafopredeter"/>
    <w:link w:val="Piedepgina"/>
    <w:uiPriority w:val="99"/>
    <w:semiHidden/>
    <w:rsid w:val="009E7AB6"/>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D3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DF5D31"/>
    <w:pPr>
      <w:keepNext/>
      <w:jc w:val="both"/>
      <w:outlineLvl w:val="1"/>
    </w:pPr>
    <w:rPr>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semiHidden/>
    <w:rsid w:val="00DF5D31"/>
    <w:pPr>
      <w:jc w:val="center"/>
    </w:pPr>
    <w:rPr>
      <w:b/>
      <w:bCs/>
      <w:lang w:val="en-US"/>
    </w:rPr>
  </w:style>
  <w:style w:type="character" w:customStyle="1" w:styleId="Textoindependiente2Car">
    <w:name w:val="Texto independiente 2 Car"/>
    <w:basedOn w:val="Fuentedeprrafopredeter"/>
    <w:link w:val="Textoindependiente2"/>
    <w:semiHidden/>
    <w:rsid w:val="00DF5D31"/>
    <w:rPr>
      <w:rFonts w:ascii="Times New Roman" w:eastAsia="Times New Roman" w:hAnsi="Times New Roman" w:cs="Times New Roman"/>
      <w:b/>
      <w:bCs/>
      <w:sz w:val="24"/>
      <w:szCs w:val="24"/>
      <w:lang w:val="en-US" w:eastAsia="es-ES"/>
    </w:rPr>
  </w:style>
  <w:style w:type="character" w:styleId="Hipervnculo">
    <w:name w:val="Hyperlink"/>
    <w:basedOn w:val="Fuentedeprrafopredeter"/>
    <w:uiPriority w:val="99"/>
    <w:semiHidden/>
    <w:unhideWhenUsed/>
    <w:rsid w:val="00DF5D31"/>
    <w:rPr>
      <w:color w:val="0000FF" w:themeColor="hyperlink"/>
      <w:u w:val="single"/>
    </w:rPr>
  </w:style>
  <w:style w:type="character" w:customStyle="1" w:styleId="Ttulo2Car">
    <w:name w:val="Título 2 Car"/>
    <w:basedOn w:val="Fuentedeprrafopredeter"/>
    <w:link w:val="Ttulo2"/>
    <w:rsid w:val="00DF5D31"/>
    <w:rPr>
      <w:rFonts w:ascii="Times New Roman" w:eastAsia="Times New Roman" w:hAnsi="Times New Roman" w:cs="Times New Roman"/>
      <w:b/>
      <w:bCs/>
      <w:sz w:val="24"/>
      <w:szCs w:val="24"/>
      <w:lang w:val="en-US" w:eastAsia="es-ES"/>
    </w:rPr>
  </w:style>
  <w:style w:type="paragraph" w:styleId="HTMLconformatoprevio">
    <w:name w:val="HTML Preformatted"/>
    <w:basedOn w:val="Normal"/>
    <w:link w:val="HTMLconformatoprevioCar"/>
    <w:uiPriority w:val="99"/>
    <w:unhideWhenUsed/>
    <w:rsid w:val="004C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4C2CA4"/>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8D0907"/>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907"/>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429468786">
      <w:bodyDiv w:val="1"/>
      <w:marLeft w:val="0"/>
      <w:marRight w:val="0"/>
      <w:marTop w:val="0"/>
      <w:marBottom w:val="0"/>
      <w:divBdr>
        <w:top w:val="none" w:sz="0" w:space="0" w:color="auto"/>
        <w:left w:val="none" w:sz="0" w:space="0" w:color="auto"/>
        <w:bottom w:val="none" w:sz="0" w:space="0" w:color="auto"/>
        <w:right w:val="none" w:sz="0" w:space="0" w:color="auto"/>
      </w:divBdr>
    </w:div>
    <w:div w:id="678119931">
      <w:bodyDiv w:val="1"/>
      <w:marLeft w:val="0"/>
      <w:marRight w:val="0"/>
      <w:marTop w:val="0"/>
      <w:marBottom w:val="0"/>
      <w:divBdr>
        <w:top w:val="none" w:sz="0" w:space="0" w:color="auto"/>
        <w:left w:val="none" w:sz="0" w:space="0" w:color="auto"/>
        <w:bottom w:val="none" w:sz="0" w:space="0" w:color="auto"/>
        <w:right w:val="none" w:sz="0" w:space="0" w:color="auto"/>
      </w:divBdr>
    </w:div>
    <w:div w:id="745424093">
      <w:bodyDiv w:val="1"/>
      <w:marLeft w:val="0"/>
      <w:marRight w:val="0"/>
      <w:marTop w:val="0"/>
      <w:marBottom w:val="0"/>
      <w:divBdr>
        <w:top w:val="none" w:sz="0" w:space="0" w:color="auto"/>
        <w:left w:val="none" w:sz="0" w:space="0" w:color="auto"/>
        <w:bottom w:val="none" w:sz="0" w:space="0" w:color="auto"/>
        <w:right w:val="none" w:sz="0" w:space="0" w:color="auto"/>
      </w:divBdr>
    </w:div>
    <w:div w:id="860051405">
      <w:bodyDiv w:val="1"/>
      <w:marLeft w:val="0"/>
      <w:marRight w:val="0"/>
      <w:marTop w:val="0"/>
      <w:marBottom w:val="0"/>
      <w:divBdr>
        <w:top w:val="none" w:sz="0" w:space="0" w:color="auto"/>
        <w:left w:val="none" w:sz="0" w:space="0" w:color="auto"/>
        <w:bottom w:val="none" w:sz="0" w:space="0" w:color="auto"/>
        <w:right w:val="none" w:sz="0" w:space="0" w:color="auto"/>
      </w:divBdr>
    </w:div>
    <w:div w:id="893783724">
      <w:bodyDiv w:val="1"/>
      <w:marLeft w:val="0"/>
      <w:marRight w:val="0"/>
      <w:marTop w:val="0"/>
      <w:marBottom w:val="0"/>
      <w:divBdr>
        <w:top w:val="none" w:sz="0" w:space="0" w:color="auto"/>
        <w:left w:val="none" w:sz="0" w:space="0" w:color="auto"/>
        <w:bottom w:val="none" w:sz="0" w:space="0" w:color="auto"/>
        <w:right w:val="none" w:sz="0" w:space="0" w:color="auto"/>
      </w:divBdr>
    </w:div>
    <w:div w:id="1066105043">
      <w:bodyDiv w:val="1"/>
      <w:marLeft w:val="0"/>
      <w:marRight w:val="0"/>
      <w:marTop w:val="0"/>
      <w:marBottom w:val="0"/>
      <w:divBdr>
        <w:top w:val="none" w:sz="0" w:space="0" w:color="auto"/>
        <w:left w:val="none" w:sz="0" w:space="0" w:color="auto"/>
        <w:bottom w:val="none" w:sz="0" w:space="0" w:color="auto"/>
        <w:right w:val="none" w:sz="0" w:space="0" w:color="auto"/>
      </w:divBdr>
    </w:div>
    <w:div w:id="1174537145">
      <w:bodyDiv w:val="1"/>
      <w:marLeft w:val="0"/>
      <w:marRight w:val="0"/>
      <w:marTop w:val="0"/>
      <w:marBottom w:val="0"/>
      <w:divBdr>
        <w:top w:val="none" w:sz="0" w:space="0" w:color="auto"/>
        <w:left w:val="none" w:sz="0" w:space="0" w:color="auto"/>
        <w:bottom w:val="none" w:sz="0" w:space="0" w:color="auto"/>
        <w:right w:val="none" w:sz="0" w:space="0" w:color="auto"/>
      </w:divBdr>
    </w:div>
    <w:div w:id="1570117842">
      <w:bodyDiv w:val="1"/>
      <w:marLeft w:val="0"/>
      <w:marRight w:val="0"/>
      <w:marTop w:val="0"/>
      <w:marBottom w:val="0"/>
      <w:divBdr>
        <w:top w:val="none" w:sz="0" w:space="0" w:color="auto"/>
        <w:left w:val="none" w:sz="0" w:space="0" w:color="auto"/>
        <w:bottom w:val="none" w:sz="0" w:space="0" w:color="auto"/>
        <w:right w:val="none" w:sz="0" w:space="0" w:color="auto"/>
      </w:divBdr>
    </w:div>
    <w:div w:id="1753164243">
      <w:bodyDiv w:val="1"/>
      <w:marLeft w:val="0"/>
      <w:marRight w:val="0"/>
      <w:marTop w:val="0"/>
      <w:marBottom w:val="0"/>
      <w:divBdr>
        <w:top w:val="none" w:sz="0" w:space="0" w:color="auto"/>
        <w:left w:val="none" w:sz="0" w:space="0" w:color="auto"/>
        <w:bottom w:val="none" w:sz="0" w:space="0" w:color="auto"/>
        <w:right w:val="none" w:sz="0" w:space="0" w:color="auto"/>
      </w:divBdr>
    </w:div>
    <w:div w:id="191627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o.rodriguez@uadec.com.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ygarza@uadec.com.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leopoldo.rios@uadec.edu.mx"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hyperlink" Target="mailto:deniss.diaz@uadec.com.m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uario\Desktop\Archivos%20para%20metodologias\Reportes%20lechuguilla\R4.%20Cinetica%20de%20fermentaci&#195;&#179;n%20S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9.6366354205724258E-2"/>
          <c:y val="2.5749028206917178E-2"/>
          <c:w val="0.69054208223972002"/>
          <c:h val="0.85588956443735664"/>
        </c:manualLayout>
      </c:layout>
      <c:scatterChart>
        <c:scatterStyle val="lineMarker"/>
        <c:ser>
          <c:idx val="0"/>
          <c:order val="0"/>
          <c:tx>
            <c:v>Glu-C</c:v>
          </c:tx>
          <c:spPr>
            <a:ln>
              <a:solidFill>
                <a:schemeClr val="accent1"/>
              </a:solidFill>
            </a:ln>
          </c:spPr>
          <c:marker>
            <c:symbol val="triangle"/>
            <c:size val="7"/>
          </c:marker>
          <c:xVal>
            <c:numRef>
              <c:f>Hoja1!$A$12:$A$18</c:f>
              <c:numCache>
                <c:formatCode>General</c:formatCode>
                <c:ptCount val="7"/>
                <c:pt idx="0">
                  <c:v>0</c:v>
                </c:pt>
                <c:pt idx="1">
                  <c:v>2</c:v>
                </c:pt>
                <c:pt idx="2">
                  <c:v>4</c:v>
                </c:pt>
                <c:pt idx="3">
                  <c:v>6</c:v>
                </c:pt>
                <c:pt idx="4">
                  <c:v>9</c:v>
                </c:pt>
                <c:pt idx="5">
                  <c:v>13</c:v>
                </c:pt>
                <c:pt idx="6">
                  <c:v>19</c:v>
                </c:pt>
              </c:numCache>
            </c:numRef>
          </c:xVal>
          <c:yVal>
            <c:numRef>
              <c:f>Hoja1!$D$12:$D$18</c:f>
              <c:numCache>
                <c:formatCode>General</c:formatCode>
                <c:ptCount val="7"/>
                <c:pt idx="0">
                  <c:v>48.660000000000004</c:v>
                </c:pt>
                <c:pt idx="1">
                  <c:v>45.160000000000004</c:v>
                </c:pt>
                <c:pt idx="2">
                  <c:v>29.150000000000002</c:v>
                </c:pt>
                <c:pt idx="3">
                  <c:v>18.335000000000001</c:v>
                </c:pt>
                <c:pt idx="4">
                  <c:v>0</c:v>
                </c:pt>
                <c:pt idx="5">
                  <c:v>0</c:v>
                </c:pt>
                <c:pt idx="6">
                  <c:v>0</c:v>
                </c:pt>
              </c:numCache>
            </c:numRef>
          </c:yVal>
        </c:ser>
        <c:ser>
          <c:idx val="1"/>
          <c:order val="1"/>
          <c:tx>
            <c:v>Glu-H</c:v>
          </c:tx>
          <c:xVal>
            <c:numRef>
              <c:f>Hoja1!$A$3:$A$9</c:f>
              <c:numCache>
                <c:formatCode>General</c:formatCode>
                <c:ptCount val="7"/>
                <c:pt idx="0">
                  <c:v>0</c:v>
                </c:pt>
                <c:pt idx="1">
                  <c:v>2</c:v>
                </c:pt>
                <c:pt idx="2">
                  <c:v>4</c:v>
                </c:pt>
                <c:pt idx="3">
                  <c:v>6</c:v>
                </c:pt>
                <c:pt idx="4">
                  <c:v>9</c:v>
                </c:pt>
                <c:pt idx="5">
                  <c:v>13</c:v>
                </c:pt>
                <c:pt idx="6">
                  <c:v>19</c:v>
                </c:pt>
              </c:numCache>
            </c:numRef>
          </c:xVal>
          <c:yVal>
            <c:numRef>
              <c:f>Hoja1!$D$3:$D$9</c:f>
              <c:numCache>
                <c:formatCode>General</c:formatCode>
                <c:ptCount val="7"/>
                <c:pt idx="0">
                  <c:v>39.010000000000005</c:v>
                </c:pt>
                <c:pt idx="1">
                  <c:v>34.92</c:v>
                </c:pt>
                <c:pt idx="2">
                  <c:v>26.21</c:v>
                </c:pt>
                <c:pt idx="3">
                  <c:v>10.535</c:v>
                </c:pt>
                <c:pt idx="4">
                  <c:v>1.25</c:v>
                </c:pt>
                <c:pt idx="5">
                  <c:v>0</c:v>
                </c:pt>
                <c:pt idx="6">
                  <c:v>0</c:v>
                </c:pt>
              </c:numCache>
            </c:numRef>
          </c:yVal>
        </c:ser>
        <c:dLbls/>
        <c:axId val="64369024"/>
        <c:axId val="64371328"/>
      </c:scatterChart>
      <c:scatterChart>
        <c:scatterStyle val="lineMarker"/>
        <c:ser>
          <c:idx val="2"/>
          <c:order val="2"/>
          <c:tx>
            <c:v>Etanol-H</c:v>
          </c:tx>
          <c:spPr>
            <a:ln>
              <a:solidFill>
                <a:srgbClr val="C00000"/>
              </a:solidFill>
              <a:prstDash val="sysDash"/>
            </a:ln>
          </c:spPr>
          <c:marker>
            <c:symbol val="square"/>
            <c:size val="7"/>
            <c:spPr>
              <a:solidFill>
                <a:schemeClr val="accent2"/>
              </a:solidFill>
              <a:ln>
                <a:solidFill>
                  <a:srgbClr val="C00000"/>
                </a:solidFill>
              </a:ln>
            </c:spPr>
          </c:marker>
          <c:xVal>
            <c:numRef>
              <c:f>Hoja1!$A$21:$A$27</c:f>
              <c:numCache>
                <c:formatCode>General</c:formatCode>
                <c:ptCount val="7"/>
                <c:pt idx="0">
                  <c:v>0</c:v>
                </c:pt>
                <c:pt idx="1">
                  <c:v>2</c:v>
                </c:pt>
                <c:pt idx="2">
                  <c:v>4</c:v>
                </c:pt>
                <c:pt idx="3">
                  <c:v>6</c:v>
                </c:pt>
                <c:pt idx="4">
                  <c:v>9</c:v>
                </c:pt>
                <c:pt idx="5">
                  <c:v>13</c:v>
                </c:pt>
                <c:pt idx="6">
                  <c:v>19</c:v>
                </c:pt>
              </c:numCache>
            </c:numRef>
          </c:xVal>
          <c:yVal>
            <c:numRef>
              <c:f>Hoja1!$D$21:$D$27</c:f>
              <c:numCache>
                <c:formatCode>General</c:formatCode>
                <c:ptCount val="7"/>
                <c:pt idx="0">
                  <c:v>0</c:v>
                </c:pt>
                <c:pt idx="1">
                  <c:v>1.575</c:v>
                </c:pt>
                <c:pt idx="2">
                  <c:v>4.8249999999999993</c:v>
                </c:pt>
                <c:pt idx="3">
                  <c:v>10.860000000000001</c:v>
                </c:pt>
                <c:pt idx="4">
                  <c:v>14.075000000000001</c:v>
                </c:pt>
                <c:pt idx="5">
                  <c:v>16.134999999999998</c:v>
                </c:pt>
                <c:pt idx="6">
                  <c:v>17.8</c:v>
                </c:pt>
              </c:numCache>
            </c:numRef>
          </c:yVal>
        </c:ser>
        <c:ser>
          <c:idx val="3"/>
          <c:order val="3"/>
          <c:tx>
            <c:v>Etanol-C</c:v>
          </c:tx>
          <c:spPr>
            <a:ln>
              <a:solidFill>
                <a:srgbClr val="0070C0"/>
              </a:solidFill>
              <a:prstDash val="sysDash"/>
            </a:ln>
          </c:spPr>
          <c:marker>
            <c:symbol val="triangle"/>
            <c:size val="7"/>
            <c:spPr>
              <a:solidFill>
                <a:srgbClr val="0070C0"/>
              </a:solidFill>
              <a:ln>
                <a:solidFill>
                  <a:srgbClr val="0070C0"/>
                </a:solidFill>
              </a:ln>
            </c:spPr>
          </c:marker>
          <c:xVal>
            <c:numRef>
              <c:f>Hoja1!$A$30:$A$36</c:f>
              <c:numCache>
                <c:formatCode>General</c:formatCode>
                <c:ptCount val="7"/>
                <c:pt idx="0">
                  <c:v>0</c:v>
                </c:pt>
                <c:pt idx="1">
                  <c:v>2</c:v>
                </c:pt>
                <c:pt idx="2">
                  <c:v>4</c:v>
                </c:pt>
                <c:pt idx="3">
                  <c:v>6</c:v>
                </c:pt>
                <c:pt idx="4">
                  <c:v>9</c:v>
                </c:pt>
                <c:pt idx="5">
                  <c:v>13</c:v>
                </c:pt>
                <c:pt idx="6">
                  <c:v>19</c:v>
                </c:pt>
              </c:numCache>
            </c:numRef>
          </c:xVal>
          <c:yVal>
            <c:numRef>
              <c:f>Hoja1!$D$30:$D$36</c:f>
              <c:numCache>
                <c:formatCode>General</c:formatCode>
                <c:ptCount val="7"/>
                <c:pt idx="0">
                  <c:v>0</c:v>
                </c:pt>
                <c:pt idx="1">
                  <c:v>2.1799999999999997</c:v>
                </c:pt>
                <c:pt idx="2">
                  <c:v>5.75</c:v>
                </c:pt>
                <c:pt idx="3">
                  <c:v>12</c:v>
                </c:pt>
                <c:pt idx="4">
                  <c:v>18.524999999999999</c:v>
                </c:pt>
                <c:pt idx="5">
                  <c:v>18.924999999999997</c:v>
                </c:pt>
                <c:pt idx="6">
                  <c:v>19.875</c:v>
                </c:pt>
              </c:numCache>
            </c:numRef>
          </c:yVal>
        </c:ser>
        <c:ser>
          <c:idx val="4"/>
          <c:order val="4"/>
          <c:tx>
            <c:v>Glucosa-SFS</c:v>
          </c:tx>
          <c:spPr>
            <a:ln>
              <a:solidFill>
                <a:srgbClr val="00B050"/>
              </a:solidFill>
            </a:ln>
          </c:spPr>
          <c:marker>
            <c:symbol val="circle"/>
            <c:size val="7"/>
            <c:spPr>
              <a:solidFill>
                <a:srgbClr val="00B050"/>
              </a:solidFill>
            </c:spPr>
          </c:marker>
          <c:xVal>
            <c:numRef>
              <c:f>Hoja1!$F$21:$F$27</c:f>
              <c:numCache>
                <c:formatCode>General</c:formatCode>
                <c:ptCount val="7"/>
                <c:pt idx="0">
                  <c:v>0</c:v>
                </c:pt>
                <c:pt idx="1">
                  <c:v>2</c:v>
                </c:pt>
                <c:pt idx="2">
                  <c:v>4</c:v>
                </c:pt>
                <c:pt idx="3">
                  <c:v>6</c:v>
                </c:pt>
                <c:pt idx="4">
                  <c:v>9</c:v>
                </c:pt>
                <c:pt idx="5">
                  <c:v>13</c:v>
                </c:pt>
                <c:pt idx="6">
                  <c:v>19</c:v>
                </c:pt>
              </c:numCache>
            </c:numRef>
          </c:xVal>
          <c:yVal>
            <c:numRef>
              <c:f>Hoja1!$G$21:$G$27</c:f>
              <c:numCache>
                <c:formatCode>General</c:formatCode>
                <c:ptCount val="7"/>
                <c:pt idx="0">
                  <c:v>35</c:v>
                </c:pt>
                <c:pt idx="1">
                  <c:v>25</c:v>
                </c:pt>
                <c:pt idx="2">
                  <c:v>23.9</c:v>
                </c:pt>
                <c:pt idx="3">
                  <c:v>18.600000000000001</c:v>
                </c:pt>
                <c:pt idx="4">
                  <c:v>17</c:v>
                </c:pt>
                <c:pt idx="5">
                  <c:v>0</c:v>
                </c:pt>
                <c:pt idx="6">
                  <c:v>0</c:v>
                </c:pt>
              </c:numCache>
            </c:numRef>
          </c:yVal>
        </c:ser>
        <c:ser>
          <c:idx val="5"/>
          <c:order val="5"/>
          <c:tx>
            <c:v>Etanol-SFS</c:v>
          </c:tx>
          <c:spPr>
            <a:ln>
              <a:solidFill>
                <a:srgbClr val="00B050"/>
              </a:solidFill>
              <a:prstDash val="sysDash"/>
            </a:ln>
          </c:spPr>
          <c:marker>
            <c:spPr>
              <a:solidFill>
                <a:srgbClr val="00B050"/>
              </a:solidFill>
              <a:ln>
                <a:solidFill>
                  <a:srgbClr val="00B050"/>
                </a:solidFill>
              </a:ln>
            </c:spPr>
          </c:marker>
          <c:xVal>
            <c:numRef>
              <c:f>Hoja1!$I$21:$I$27</c:f>
              <c:numCache>
                <c:formatCode>General</c:formatCode>
                <c:ptCount val="7"/>
                <c:pt idx="0">
                  <c:v>0</c:v>
                </c:pt>
                <c:pt idx="1">
                  <c:v>2</c:v>
                </c:pt>
                <c:pt idx="2">
                  <c:v>4</c:v>
                </c:pt>
                <c:pt idx="3">
                  <c:v>6</c:v>
                </c:pt>
                <c:pt idx="4">
                  <c:v>9</c:v>
                </c:pt>
                <c:pt idx="5">
                  <c:v>13</c:v>
                </c:pt>
                <c:pt idx="6">
                  <c:v>19</c:v>
                </c:pt>
              </c:numCache>
            </c:numRef>
          </c:xVal>
          <c:yVal>
            <c:numRef>
              <c:f>Hoja1!$J$21:$J$27</c:f>
              <c:numCache>
                <c:formatCode>General</c:formatCode>
                <c:ptCount val="7"/>
                <c:pt idx="0">
                  <c:v>0</c:v>
                </c:pt>
                <c:pt idx="1">
                  <c:v>1.6700000000000002</c:v>
                </c:pt>
                <c:pt idx="2">
                  <c:v>2.13</c:v>
                </c:pt>
                <c:pt idx="3">
                  <c:v>3</c:v>
                </c:pt>
                <c:pt idx="4">
                  <c:v>3.67</c:v>
                </c:pt>
                <c:pt idx="5">
                  <c:v>4.5</c:v>
                </c:pt>
                <c:pt idx="6">
                  <c:v>5</c:v>
                </c:pt>
              </c:numCache>
            </c:numRef>
          </c:yVal>
        </c:ser>
        <c:dLbls/>
        <c:axId val="92386432"/>
        <c:axId val="92366720"/>
      </c:scatterChart>
      <c:valAx>
        <c:axId val="64369024"/>
        <c:scaling>
          <c:orientation val="minMax"/>
        </c:scaling>
        <c:axPos val="b"/>
        <c:title>
          <c:tx>
            <c:rich>
              <a:bodyPr/>
              <a:lstStyle/>
              <a:p>
                <a:pPr>
                  <a:defRPr/>
                </a:pPr>
                <a:r>
                  <a:rPr lang="es-MX"/>
                  <a:t>Tiempo  (h)</a:t>
                </a:r>
              </a:p>
            </c:rich>
          </c:tx>
          <c:layout>
            <c:manualLayout>
              <c:xMode val="edge"/>
              <c:yMode val="edge"/>
              <c:x val="0.3896187824424312"/>
              <c:y val="0.9413687368549214"/>
            </c:manualLayout>
          </c:layout>
        </c:title>
        <c:numFmt formatCode="General" sourceLinked="1"/>
        <c:majorTickMark val="cross"/>
        <c:tickLblPos val="nextTo"/>
        <c:crossAx val="64371328"/>
        <c:crosses val="autoZero"/>
        <c:crossBetween val="midCat"/>
      </c:valAx>
      <c:valAx>
        <c:axId val="64371328"/>
        <c:scaling>
          <c:orientation val="minMax"/>
        </c:scaling>
        <c:axPos val="l"/>
        <c:title>
          <c:tx>
            <c:rich>
              <a:bodyPr/>
              <a:lstStyle/>
              <a:p>
                <a:pPr>
                  <a:defRPr/>
                </a:pPr>
                <a:r>
                  <a:rPr lang="es-MX"/>
                  <a:t>Glucosa</a:t>
                </a:r>
                <a:r>
                  <a:rPr lang="es-MX" baseline="0"/>
                  <a:t> (g/L)</a:t>
                </a:r>
                <a:endParaRPr lang="es-MX"/>
              </a:p>
            </c:rich>
          </c:tx>
        </c:title>
        <c:numFmt formatCode="General" sourceLinked="1"/>
        <c:majorTickMark val="cross"/>
        <c:tickLblPos val="nextTo"/>
        <c:crossAx val="64369024"/>
        <c:crosses val="autoZero"/>
        <c:crossBetween val="midCat"/>
      </c:valAx>
      <c:valAx>
        <c:axId val="92366720"/>
        <c:scaling>
          <c:orientation val="minMax"/>
        </c:scaling>
        <c:axPos val="r"/>
        <c:numFmt formatCode="General" sourceLinked="1"/>
        <c:majorTickMark val="cross"/>
        <c:tickLblPos val="nextTo"/>
        <c:crossAx val="92386432"/>
        <c:crosses val="max"/>
        <c:crossBetween val="midCat"/>
      </c:valAx>
      <c:valAx>
        <c:axId val="92386432"/>
        <c:scaling>
          <c:orientation val="minMax"/>
        </c:scaling>
        <c:delete val="1"/>
        <c:axPos val="b"/>
        <c:numFmt formatCode="General" sourceLinked="1"/>
        <c:tickLblPos val="none"/>
        <c:crossAx val="92366720"/>
        <c:crosses val="autoZero"/>
        <c:crossBetween val="midCat"/>
      </c:valAx>
      <c:spPr>
        <a:ln>
          <a:solidFill>
            <a:sysClr val="windowText" lastClr="000000"/>
          </a:solidFill>
        </a:ln>
      </c:spPr>
    </c:plotArea>
    <c:legend>
      <c:legendPos val="r"/>
      <c:legendEntry>
        <c:idx val="0"/>
        <c:txPr>
          <a:bodyPr/>
          <a:lstStyle/>
          <a:p>
            <a:pPr>
              <a:defRPr sz="800"/>
            </a:pPr>
            <a:endParaRPr lang="es-MX"/>
          </a:p>
        </c:txPr>
      </c:legendEntry>
      <c:legendEntry>
        <c:idx val="1"/>
        <c:txPr>
          <a:bodyPr/>
          <a:lstStyle/>
          <a:p>
            <a:pPr>
              <a:defRPr sz="800"/>
            </a:pPr>
            <a:endParaRPr lang="es-MX"/>
          </a:p>
        </c:txPr>
      </c:legendEntry>
      <c:legendEntry>
        <c:idx val="2"/>
        <c:txPr>
          <a:bodyPr/>
          <a:lstStyle/>
          <a:p>
            <a:pPr>
              <a:defRPr sz="800"/>
            </a:pPr>
            <a:endParaRPr lang="es-MX"/>
          </a:p>
        </c:txPr>
      </c:legendEntry>
      <c:legendEntry>
        <c:idx val="3"/>
        <c:txPr>
          <a:bodyPr/>
          <a:lstStyle/>
          <a:p>
            <a:pPr>
              <a:defRPr sz="800"/>
            </a:pPr>
            <a:endParaRPr lang="es-MX"/>
          </a:p>
        </c:txPr>
      </c:legendEntry>
      <c:legendEntry>
        <c:idx val="4"/>
        <c:txPr>
          <a:bodyPr/>
          <a:lstStyle/>
          <a:p>
            <a:pPr>
              <a:defRPr sz="800"/>
            </a:pPr>
            <a:endParaRPr lang="es-MX"/>
          </a:p>
        </c:txPr>
      </c:legendEntry>
      <c:legendEntry>
        <c:idx val="5"/>
        <c:txPr>
          <a:bodyPr/>
          <a:lstStyle/>
          <a:p>
            <a:pPr>
              <a:defRPr sz="800"/>
            </a:pPr>
            <a:endParaRPr lang="es-MX"/>
          </a:p>
        </c:txPr>
      </c:legendEntry>
      <c:layout>
        <c:manualLayout>
          <c:xMode val="edge"/>
          <c:yMode val="edge"/>
          <c:x val="0.8328838861186495"/>
          <c:y val="0.57743047941792081"/>
          <c:w val="0.16485239005565727"/>
          <c:h val="0.42256952058207919"/>
        </c:manualLayout>
      </c:layout>
      <c:txPr>
        <a:bodyPr/>
        <a:lstStyle/>
        <a:p>
          <a:pPr>
            <a:defRPr sz="900"/>
          </a:pPr>
          <a:endParaRPr lang="es-MX"/>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0.85607</cdr:x>
      <cdr:y>0.21337</cdr:y>
    </cdr:from>
    <cdr:to>
      <cdr:x>0.9985</cdr:x>
      <cdr:y>0.27506</cdr:y>
    </cdr:to>
    <cdr:sp macro="" textlink="">
      <cdr:nvSpPr>
        <cdr:cNvPr id="3" name="2 CuadroTexto"/>
        <cdr:cNvSpPr txBox="1"/>
      </cdr:nvSpPr>
      <cdr:spPr>
        <a:xfrm xmlns:a="http://schemas.openxmlformats.org/drawingml/2006/main">
          <a:off x="4834467" y="702735"/>
          <a:ext cx="804334" cy="203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0.8472</cdr:x>
      <cdr:y>0.17089</cdr:y>
    </cdr:from>
    <cdr:to>
      <cdr:x>0.88357</cdr:x>
      <cdr:y>0.5229</cdr:y>
    </cdr:to>
    <cdr:sp macro="" textlink="">
      <cdr:nvSpPr>
        <cdr:cNvPr id="4" name="3 CuadroTexto"/>
        <cdr:cNvSpPr txBox="1"/>
      </cdr:nvSpPr>
      <cdr:spPr>
        <a:xfrm xmlns:a="http://schemas.openxmlformats.org/drawingml/2006/main" rot="16200000">
          <a:off x="3797704" y="953172"/>
          <a:ext cx="1059534" cy="181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050" b="1"/>
            <a:t>Etanol (g/L)</a:t>
          </a:r>
        </a:p>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4</Pages>
  <Words>1247</Words>
  <Characters>6862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Maru</cp:lastModifiedBy>
  <cp:revision>16</cp:revision>
  <dcterms:created xsi:type="dcterms:W3CDTF">2015-04-07T18:59:00Z</dcterms:created>
  <dcterms:modified xsi:type="dcterms:W3CDTF">2015-04-29T16:12:00Z</dcterms:modified>
</cp:coreProperties>
</file>