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C68" w:rsidRDefault="00015E7E">
      <w:bookmarkStart w:id="0" w:name="_GoBack"/>
      <w:bookmarkEnd w:id="0"/>
      <w:r>
        <w:rPr>
          <w:noProof/>
          <w:lang w:eastAsia="es-MX"/>
        </w:rPr>
        <w:drawing>
          <wp:inline distT="0" distB="0" distL="0" distR="0" wp14:anchorId="7E34FCD8">
            <wp:extent cx="5647690" cy="116205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7690" cy="1162050"/>
                    </a:xfrm>
                    <a:prstGeom prst="rect">
                      <a:avLst/>
                    </a:prstGeom>
                    <a:noFill/>
                  </pic:spPr>
                </pic:pic>
              </a:graphicData>
            </a:graphic>
          </wp:inline>
        </w:drawing>
      </w:r>
    </w:p>
    <w:p w:rsidR="00CD0C68" w:rsidRPr="00CD0C68" w:rsidRDefault="004601DD" w:rsidP="00CD0C68">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Pr>
          <w:rFonts w:ascii="Arial" w:eastAsia="Times New Roman" w:hAnsi="Arial" w:cs="Arial"/>
          <w:b/>
          <w:bCs/>
          <w:sz w:val="20"/>
          <w:szCs w:val="20"/>
        </w:rPr>
        <w:t>“</w:t>
      </w:r>
      <w:r w:rsidRPr="004601DD">
        <w:rPr>
          <w:b/>
        </w:rPr>
        <w:t>Cuantificación</w:t>
      </w:r>
      <w:r>
        <w:rPr>
          <w:rFonts w:ascii="Arial" w:eastAsia="Times New Roman" w:hAnsi="Arial" w:cs="Arial"/>
          <w:b/>
          <w:bCs/>
          <w:sz w:val="20"/>
          <w:szCs w:val="20"/>
        </w:rPr>
        <w:t xml:space="preserve"> d</w:t>
      </w:r>
      <w:r w:rsidRPr="009A5D00">
        <w:rPr>
          <w:rFonts w:ascii="Arial" w:eastAsia="Times New Roman" w:hAnsi="Arial" w:cs="Arial"/>
          <w:b/>
          <w:bCs/>
          <w:sz w:val="20"/>
          <w:szCs w:val="20"/>
        </w:rPr>
        <w:t>el Antígeno Prostático Específico (PSA</w:t>
      </w:r>
      <w:r>
        <w:rPr>
          <w:rFonts w:ascii="Arial" w:eastAsia="Times New Roman" w:hAnsi="Arial" w:cs="Arial"/>
          <w:b/>
          <w:bCs/>
          <w:sz w:val="20"/>
          <w:szCs w:val="20"/>
        </w:rPr>
        <w:t>) en pacientes que acuden al</w:t>
      </w:r>
      <w:r w:rsidRPr="009A5D00">
        <w:rPr>
          <w:rFonts w:ascii="Arial" w:eastAsia="Times New Roman" w:hAnsi="Arial" w:cs="Arial"/>
          <w:b/>
          <w:bCs/>
          <w:sz w:val="20"/>
          <w:szCs w:val="20"/>
        </w:rPr>
        <w:t xml:space="preserve"> Nu</w:t>
      </w:r>
      <w:r>
        <w:rPr>
          <w:rFonts w:ascii="Arial" w:eastAsia="Times New Roman" w:hAnsi="Arial" w:cs="Arial"/>
          <w:b/>
          <w:bCs/>
          <w:sz w:val="20"/>
          <w:szCs w:val="20"/>
        </w:rPr>
        <w:t>evo Hospital Civil d</w:t>
      </w:r>
      <w:r w:rsidRPr="009A5D00">
        <w:rPr>
          <w:rFonts w:ascii="Arial" w:eastAsia="Times New Roman" w:hAnsi="Arial" w:cs="Arial"/>
          <w:b/>
          <w:bCs/>
          <w:sz w:val="20"/>
          <w:szCs w:val="20"/>
        </w:rPr>
        <w:t>e Guadalajara</w:t>
      </w:r>
      <w:r w:rsidR="00CD0C68" w:rsidRPr="00CD0C68">
        <w:rPr>
          <w:rFonts w:ascii="Arial" w:eastAsia="Times New Roman" w:hAnsi="Arial" w:cs="Arial"/>
          <w:b/>
          <w:bCs/>
          <w:sz w:val="20"/>
          <w:szCs w:val="20"/>
        </w:rPr>
        <w:t>.</w:t>
      </w:r>
      <w:r>
        <w:rPr>
          <w:rFonts w:ascii="Arial" w:eastAsia="Times New Roman" w:hAnsi="Arial" w:cs="Arial"/>
          <w:b/>
          <w:bCs/>
          <w:sz w:val="20"/>
          <w:szCs w:val="20"/>
        </w:rPr>
        <w:t>”</w:t>
      </w:r>
    </w:p>
    <w:p w:rsidR="00CD0C68" w:rsidRPr="00CD0C68" w:rsidRDefault="00CD0C68" w:rsidP="00CD0C68">
      <w:pPr>
        <w:overflowPunct w:val="0"/>
        <w:autoSpaceDE w:val="0"/>
        <w:autoSpaceDN w:val="0"/>
        <w:adjustRightInd w:val="0"/>
        <w:spacing w:after="0" w:line="240" w:lineRule="auto"/>
        <w:jc w:val="center"/>
        <w:textAlignment w:val="baseline"/>
        <w:rPr>
          <w:rFonts w:ascii="Arial" w:eastAsia="Times New Roman" w:hAnsi="Arial" w:cs="Arial"/>
          <w:b/>
          <w:bCs/>
          <w:sz w:val="20"/>
          <w:szCs w:val="20"/>
        </w:rPr>
      </w:pPr>
    </w:p>
    <w:p w:rsidR="00CD0C68" w:rsidRPr="005655FC" w:rsidRDefault="00CD0C68" w:rsidP="00CD0C68">
      <w:pPr>
        <w:overflowPunct w:val="0"/>
        <w:autoSpaceDE w:val="0"/>
        <w:autoSpaceDN w:val="0"/>
        <w:adjustRightInd w:val="0"/>
        <w:spacing w:after="0" w:line="240" w:lineRule="auto"/>
        <w:jc w:val="center"/>
        <w:textAlignment w:val="baseline"/>
        <w:rPr>
          <w:rFonts w:ascii="Arial" w:eastAsia="Times New Roman" w:hAnsi="Arial" w:cs="Arial"/>
          <w:b/>
          <w:bCs/>
          <w:sz w:val="20"/>
          <w:szCs w:val="20"/>
          <w:vertAlign w:val="superscript"/>
        </w:rPr>
      </w:pPr>
      <w:r w:rsidRPr="00CD0C68">
        <w:rPr>
          <w:rFonts w:ascii="Arial" w:eastAsia="Times New Roman" w:hAnsi="Arial" w:cs="Arial"/>
          <w:b/>
          <w:sz w:val="20"/>
          <w:szCs w:val="20"/>
        </w:rPr>
        <w:t>Alma Elizabeth Rojas Romero</w:t>
      </w:r>
      <w:r w:rsidRPr="00CD0C68">
        <w:rPr>
          <w:rFonts w:ascii="Arial" w:eastAsia="Times New Roman" w:hAnsi="Arial" w:cs="Arial"/>
          <w:b/>
          <w:sz w:val="20"/>
          <w:szCs w:val="20"/>
          <w:vertAlign w:val="superscript"/>
        </w:rPr>
        <w:t>1</w:t>
      </w:r>
      <w:r w:rsidRPr="00CD0C68">
        <w:rPr>
          <w:rFonts w:ascii="Arial" w:eastAsia="Times New Roman" w:hAnsi="Arial" w:cs="Arial"/>
          <w:b/>
          <w:sz w:val="20"/>
          <w:szCs w:val="20"/>
        </w:rPr>
        <w:t>,</w:t>
      </w:r>
      <w:r w:rsidR="004601DD">
        <w:rPr>
          <w:rFonts w:ascii="Arial" w:eastAsia="Times New Roman" w:hAnsi="Arial" w:cs="Arial"/>
          <w:b/>
          <w:sz w:val="20"/>
          <w:szCs w:val="20"/>
        </w:rPr>
        <w:t xml:space="preserve"> Daniel Alejandro Ceja Aguilar</w:t>
      </w:r>
      <w:r w:rsidR="004601DD">
        <w:rPr>
          <w:rFonts w:ascii="Arial" w:eastAsia="Times New Roman" w:hAnsi="Arial" w:cs="Arial"/>
          <w:b/>
          <w:sz w:val="20"/>
          <w:szCs w:val="20"/>
          <w:vertAlign w:val="superscript"/>
        </w:rPr>
        <w:t>2</w:t>
      </w:r>
      <w:r w:rsidR="004601DD">
        <w:rPr>
          <w:rFonts w:ascii="Arial" w:eastAsia="Times New Roman" w:hAnsi="Arial" w:cs="Arial"/>
          <w:b/>
          <w:sz w:val="20"/>
          <w:szCs w:val="20"/>
        </w:rPr>
        <w:t>,</w:t>
      </w:r>
      <w:r w:rsidRPr="00CD0C68">
        <w:rPr>
          <w:rFonts w:ascii="Arial" w:eastAsia="Times New Roman" w:hAnsi="Arial" w:cs="Arial"/>
          <w:b/>
          <w:sz w:val="20"/>
          <w:szCs w:val="20"/>
        </w:rPr>
        <w:t xml:space="preserve"> </w:t>
      </w:r>
      <w:r w:rsidRPr="00CD0C68">
        <w:rPr>
          <w:rFonts w:ascii="Arial" w:eastAsia="Times New Roman" w:hAnsi="Arial" w:cs="Arial"/>
          <w:b/>
          <w:bCs/>
          <w:sz w:val="20"/>
          <w:szCs w:val="20"/>
        </w:rPr>
        <w:t>Lorena Berenice Godoy García</w:t>
      </w:r>
      <w:r w:rsidRPr="00CD0C68">
        <w:rPr>
          <w:rFonts w:ascii="Arial" w:eastAsia="Times New Roman" w:hAnsi="Arial" w:cs="Arial"/>
          <w:b/>
          <w:bCs/>
          <w:sz w:val="20"/>
          <w:szCs w:val="20"/>
          <w:vertAlign w:val="superscript"/>
        </w:rPr>
        <w:t>1</w:t>
      </w:r>
      <w:r w:rsidRPr="00CD0C68">
        <w:rPr>
          <w:rFonts w:ascii="Arial" w:eastAsia="Times New Roman" w:hAnsi="Arial" w:cs="Arial"/>
          <w:b/>
          <w:bCs/>
          <w:sz w:val="20"/>
          <w:szCs w:val="20"/>
        </w:rPr>
        <w:t>, Claudia Elena González Sandoval</w:t>
      </w:r>
      <w:r w:rsidRPr="00CD0C68">
        <w:rPr>
          <w:rFonts w:ascii="Arial" w:eastAsia="Times New Roman" w:hAnsi="Arial" w:cs="Arial"/>
          <w:b/>
          <w:bCs/>
          <w:sz w:val="20"/>
          <w:szCs w:val="20"/>
          <w:vertAlign w:val="superscript"/>
        </w:rPr>
        <w:t>2</w:t>
      </w:r>
      <w:r w:rsidRPr="00CD0C68">
        <w:rPr>
          <w:rFonts w:ascii="Arial" w:eastAsia="Times New Roman" w:hAnsi="Arial" w:cs="Arial"/>
          <w:b/>
          <w:bCs/>
          <w:sz w:val="20"/>
          <w:szCs w:val="20"/>
        </w:rPr>
        <w:t xml:space="preserve">, Ma. </w:t>
      </w:r>
      <w:proofErr w:type="gramStart"/>
      <w:r w:rsidRPr="00CD0C68">
        <w:rPr>
          <w:rFonts w:ascii="Arial" w:eastAsia="Times New Roman" w:hAnsi="Arial" w:cs="Arial"/>
          <w:b/>
          <w:bCs/>
          <w:sz w:val="20"/>
          <w:szCs w:val="20"/>
        </w:rPr>
        <w:t>de</w:t>
      </w:r>
      <w:proofErr w:type="gramEnd"/>
      <w:r w:rsidRPr="00CD0C68">
        <w:rPr>
          <w:rFonts w:ascii="Arial" w:eastAsia="Times New Roman" w:hAnsi="Arial" w:cs="Arial"/>
          <w:b/>
          <w:bCs/>
          <w:sz w:val="20"/>
          <w:szCs w:val="20"/>
        </w:rPr>
        <w:t xml:space="preserve"> Jesús Medina Ledesma</w:t>
      </w:r>
      <w:r w:rsidRPr="00CD0C68">
        <w:rPr>
          <w:rFonts w:ascii="Arial" w:eastAsia="Times New Roman" w:hAnsi="Arial" w:cs="Arial"/>
          <w:b/>
          <w:bCs/>
          <w:sz w:val="20"/>
          <w:szCs w:val="20"/>
          <w:vertAlign w:val="superscript"/>
        </w:rPr>
        <w:t>2</w:t>
      </w:r>
      <w:r w:rsidR="005655FC">
        <w:rPr>
          <w:rFonts w:ascii="Arial" w:eastAsia="Times New Roman" w:hAnsi="Arial" w:cs="Arial"/>
          <w:b/>
          <w:bCs/>
          <w:sz w:val="20"/>
          <w:szCs w:val="20"/>
        </w:rPr>
        <w:t>, Alejandra Vergara López</w:t>
      </w:r>
      <w:r w:rsidR="005655FC">
        <w:rPr>
          <w:rFonts w:ascii="Arial" w:eastAsia="Times New Roman" w:hAnsi="Arial" w:cs="Arial"/>
          <w:b/>
          <w:bCs/>
          <w:sz w:val="20"/>
          <w:szCs w:val="20"/>
          <w:vertAlign w:val="superscript"/>
        </w:rPr>
        <w:t>2</w:t>
      </w:r>
    </w:p>
    <w:p w:rsidR="00CD0C68" w:rsidRPr="00CD0C68" w:rsidRDefault="00CD0C68" w:rsidP="00CD0C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p>
    <w:p w:rsidR="00CD0C68" w:rsidRPr="00CD0C68" w:rsidRDefault="00CD0C68" w:rsidP="00CD0C68">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CD0C68">
        <w:rPr>
          <w:rFonts w:ascii="Arial" w:eastAsia="Times New Roman" w:hAnsi="Arial" w:cs="Arial"/>
          <w:sz w:val="20"/>
          <w:szCs w:val="20"/>
        </w:rPr>
        <w:t xml:space="preserve">1 Departamento de </w:t>
      </w:r>
      <w:proofErr w:type="spellStart"/>
      <w:r w:rsidRPr="00CD0C68">
        <w:rPr>
          <w:rFonts w:ascii="Arial" w:eastAsia="Times New Roman" w:hAnsi="Arial" w:cs="Arial"/>
          <w:sz w:val="20"/>
          <w:szCs w:val="20"/>
        </w:rPr>
        <w:t>Farmacobiología</w:t>
      </w:r>
      <w:proofErr w:type="spellEnd"/>
      <w:r w:rsidRPr="00CD0C68">
        <w:rPr>
          <w:rFonts w:ascii="Arial" w:eastAsia="Times New Roman" w:hAnsi="Arial" w:cs="Arial"/>
          <w:sz w:val="20"/>
          <w:szCs w:val="20"/>
        </w:rPr>
        <w:t>, CUCEI, Universidad de Guadalajara, 2 Centro Universitario de</w:t>
      </w:r>
      <w:r w:rsidR="004601DD">
        <w:rPr>
          <w:rFonts w:ascii="Arial" w:eastAsia="Times New Roman" w:hAnsi="Arial" w:cs="Arial"/>
          <w:sz w:val="20"/>
          <w:szCs w:val="20"/>
        </w:rPr>
        <w:t xml:space="preserve"> Ciencias Exactas e Ingeniería.</w:t>
      </w:r>
      <w:hyperlink r:id="rId7" w:history="1">
        <w:r w:rsidRPr="00CD0C68">
          <w:rPr>
            <w:rFonts w:ascii="Arial" w:eastAsia="Times New Roman" w:hAnsi="Arial" w:cs="Arial"/>
            <w:color w:val="333366"/>
            <w:sz w:val="20"/>
            <w:szCs w:val="20"/>
          </w:rPr>
          <w:t>almarojas30@hotmail.com</w:t>
        </w:r>
      </w:hyperlink>
    </w:p>
    <w:p w:rsidR="00CD0C68" w:rsidRPr="004601DD" w:rsidRDefault="00CD0C68" w:rsidP="004601DD">
      <w:pPr>
        <w:overflowPunct w:val="0"/>
        <w:autoSpaceDE w:val="0"/>
        <w:autoSpaceDN w:val="0"/>
        <w:adjustRightInd w:val="0"/>
        <w:spacing w:after="0" w:line="240" w:lineRule="auto"/>
        <w:jc w:val="both"/>
        <w:textAlignment w:val="baseline"/>
        <w:rPr>
          <w:rFonts w:ascii="Arial" w:eastAsia="Times New Roman" w:hAnsi="Arial" w:cs="Arial"/>
          <w:caps/>
          <w:sz w:val="20"/>
          <w:szCs w:val="20"/>
          <w:lang w:val="es-ES"/>
        </w:rPr>
      </w:pPr>
    </w:p>
    <w:p w:rsidR="00CD0C68" w:rsidRPr="004601DD" w:rsidRDefault="00CD0C68" w:rsidP="004601DD">
      <w:pPr>
        <w:overflowPunct w:val="0"/>
        <w:autoSpaceDE w:val="0"/>
        <w:autoSpaceDN w:val="0"/>
        <w:adjustRightInd w:val="0"/>
        <w:spacing w:after="0" w:line="240" w:lineRule="auto"/>
        <w:jc w:val="both"/>
        <w:textAlignment w:val="baseline"/>
        <w:rPr>
          <w:rFonts w:ascii="Arial" w:eastAsia="Calibri" w:hAnsi="Arial" w:cs="Arial"/>
          <w:b/>
          <w:bCs/>
          <w:sz w:val="20"/>
          <w:szCs w:val="20"/>
        </w:rPr>
      </w:pPr>
      <w:r w:rsidRPr="004601DD">
        <w:rPr>
          <w:rFonts w:ascii="Arial" w:eastAsia="Calibri" w:hAnsi="Arial" w:cs="Arial"/>
          <w:b/>
          <w:bCs/>
          <w:sz w:val="20"/>
          <w:szCs w:val="20"/>
        </w:rPr>
        <w:t xml:space="preserve">RESUMEN. </w:t>
      </w:r>
    </w:p>
    <w:p w:rsidR="00CD0C68" w:rsidRPr="004601DD" w:rsidRDefault="004601DD" w:rsidP="004601DD">
      <w:pPr>
        <w:pStyle w:val="DaHrO"/>
        <w:spacing w:line="240" w:lineRule="auto"/>
        <w:ind w:firstLine="708"/>
        <w:rPr>
          <w:rFonts w:cs="Arial"/>
          <w:sz w:val="20"/>
          <w:szCs w:val="20"/>
        </w:rPr>
      </w:pPr>
      <w:r w:rsidRPr="004601DD">
        <w:rPr>
          <w:sz w:val="20"/>
          <w:szCs w:val="20"/>
        </w:rPr>
        <w:t xml:space="preserve">El </w:t>
      </w:r>
      <w:r w:rsidRPr="004601DD">
        <w:rPr>
          <w:bCs w:val="0"/>
          <w:sz w:val="20"/>
          <w:szCs w:val="20"/>
        </w:rPr>
        <w:t>cáncer</w:t>
      </w:r>
      <w:r w:rsidRPr="004601DD">
        <w:rPr>
          <w:sz w:val="20"/>
          <w:szCs w:val="20"/>
        </w:rPr>
        <w:t xml:space="preserve"> es un conjunto de enfermedades en las cuales el organismo produce un exceso de células malignas (también conocidas como cancerígenas o cancerosas), con rasgos típicos de comportamiento y crecimiento descontrolado (crecimiento y división más allá de los límites normales, invasión del tejido circundante y, a veces, metástasis). El cáncer de próstata es una de las neoplasias más frecuentes en los hombres y se incrementa conforme aumenta la edad. El 87 % de las defunciones se registran en la población masculina mayor de 65 años. </w:t>
      </w:r>
      <w:r w:rsidR="00CD0C68" w:rsidRPr="004601DD">
        <w:rPr>
          <w:rFonts w:cs="Arial"/>
          <w:b/>
          <w:sz w:val="20"/>
          <w:szCs w:val="20"/>
        </w:rPr>
        <w:t>Objetivo.</w:t>
      </w:r>
      <w:r w:rsidRPr="004601DD">
        <w:rPr>
          <w:sz w:val="20"/>
          <w:szCs w:val="20"/>
        </w:rPr>
        <w:t xml:space="preserve"> Cuantificar el valor del antígeno prostático específico en pacientes que acuden al Nuevo Hospital Civil de Guadalajara (NHCG) a los cuales les ha sido solicitada la determinación de Antígeno Prostático Específico (PSA). </w:t>
      </w:r>
      <w:r w:rsidR="00CD0C68" w:rsidRPr="004601DD">
        <w:rPr>
          <w:rFonts w:cs="Arial"/>
          <w:b/>
          <w:sz w:val="20"/>
          <w:szCs w:val="20"/>
        </w:rPr>
        <w:t>Diseño metodológico</w:t>
      </w:r>
      <w:r w:rsidR="00CD0C68" w:rsidRPr="004601DD">
        <w:rPr>
          <w:rFonts w:cs="Arial"/>
          <w:sz w:val="20"/>
          <w:szCs w:val="20"/>
        </w:rPr>
        <w:t>.</w:t>
      </w:r>
      <w:r w:rsidRPr="004601DD">
        <w:rPr>
          <w:bCs w:val="0"/>
          <w:sz w:val="20"/>
          <w:szCs w:val="20"/>
        </w:rPr>
        <w:t xml:space="preserve"> </w:t>
      </w:r>
      <w:r w:rsidRPr="004601DD">
        <w:rPr>
          <w:rFonts w:cs="Arial"/>
          <w:sz w:val="20"/>
          <w:szCs w:val="20"/>
        </w:rPr>
        <w:t>Se realizó un estudio analítico, transversal prospectivo, de la cuantificación de un total de 300 pacientes que acudieron al Laboratorio de Análisis Clínicos del Nuevo Hospital Civil de Guadalajara (NHCG), a los cuales se les solicitó la determinación del Antígeno Prostático Específico (PSA).</w:t>
      </w:r>
      <w:r w:rsidR="00CD0C68" w:rsidRPr="004601DD">
        <w:rPr>
          <w:rFonts w:cs="Arial"/>
          <w:sz w:val="20"/>
          <w:szCs w:val="20"/>
        </w:rPr>
        <w:t xml:space="preserve"> </w:t>
      </w:r>
      <w:r w:rsidR="00CD0C68" w:rsidRPr="004601DD">
        <w:rPr>
          <w:rFonts w:cs="Arial"/>
          <w:b/>
          <w:sz w:val="20"/>
          <w:szCs w:val="20"/>
        </w:rPr>
        <w:t>Resultados.</w:t>
      </w:r>
      <w:r w:rsidR="00CD0C68" w:rsidRPr="004601DD">
        <w:rPr>
          <w:rFonts w:cs="Arial"/>
          <w:sz w:val="20"/>
          <w:szCs w:val="20"/>
        </w:rPr>
        <w:t xml:space="preserve"> </w:t>
      </w:r>
      <w:r w:rsidRPr="004601DD">
        <w:rPr>
          <w:rFonts w:cs="Arial"/>
          <w:sz w:val="20"/>
          <w:szCs w:val="20"/>
        </w:rPr>
        <w:tab/>
        <w:t xml:space="preserve">Del total de los 300 pacientes que participaron en el estudio, el 21% mostró tener el PSA por arriba de 4 </w:t>
      </w:r>
      <w:proofErr w:type="spellStart"/>
      <w:r w:rsidRPr="004601DD">
        <w:rPr>
          <w:rFonts w:cs="Arial"/>
          <w:sz w:val="20"/>
          <w:szCs w:val="20"/>
        </w:rPr>
        <w:t>ng</w:t>
      </w:r>
      <w:proofErr w:type="spellEnd"/>
      <w:r w:rsidRPr="004601DD">
        <w:rPr>
          <w:rFonts w:cs="Arial"/>
          <w:sz w:val="20"/>
          <w:szCs w:val="20"/>
        </w:rPr>
        <w:t>/</w:t>
      </w:r>
      <w:proofErr w:type="spellStart"/>
      <w:r w:rsidRPr="004601DD">
        <w:rPr>
          <w:rFonts w:cs="Arial"/>
          <w:sz w:val="20"/>
          <w:szCs w:val="20"/>
        </w:rPr>
        <w:t>dL</w:t>
      </w:r>
      <w:proofErr w:type="spellEnd"/>
      <w:r w:rsidRPr="004601DD">
        <w:rPr>
          <w:rFonts w:cs="Arial"/>
          <w:sz w:val="20"/>
          <w:szCs w:val="20"/>
        </w:rPr>
        <w:t xml:space="preserve">. El rango de edad donde se presentó la mayor cantidad de pacientes con PSA elevado corresponde al de 41 a 50 años con el 28% de los pacientes de este grupo. De los 63 pacientes con PSA elevado, el 76% tienen antecedentes genéticos directos y el 84% de los pacientes con PSA superior a 4 </w:t>
      </w:r>
      <w:proofErr w:type="spellStart"/>
      <w:r w:rsidRPr="004601DD">
        <w:rPr>
          <w:rFonts w:cs="Arial"/>
          <w:sz w:val="20"/>
          <w:szCs w:val="20"/>
        </w:rPr>
        <w:t>ng</w:t>
      </w:r>
      <w:proofErr w:type="spellEnd"/>
      <w:r w:rsidRPr="004601DD">
        <w:rPr>
          <w:rFonts w:cs="Arial"/>
          <w:sz w:val="20"/>
          <w:szCs w:val="20"/>
        </w:rPr>
        <w:t>/</w:t>
      </w:r>
      <w:proofErr w:type="spellStart"/>
      <w:r w:rsidRPr="004601DD">
        <w:rPr>
          <w:rFonts w:cs="Arial"/>
          <w:sz w:val="20"/>
          <w:szCs w:val="20"/>
        </w:rPr>
        <w:t>dL</w:t>
      </w:r>
      <w:proofErr w:type="spellEnd"/>
      <w:r w:rsidRPr="004601DD">
        <w:rPr>
          <w:rFonts w:cs="Arial"/>
          <w:sz w:val="20"/>
          <w:szCs w:val="20"/>
        </w:rPr>
        <w:t xml:space="preserve"> son o fueron fumadores. Además, de estos 63 pacientes, el 92% no realiza actividad física y el 75% pertenece al grupo de trabajadores de oficio, de los cuales el 37% de estos, son personas que trabajan en posición sentada. Y del total de los pacientes con PSA elevado, el 60.3% pertenece al grupo entre 25 y 29,99 de Índice de Masa Corporal.</w:t>
      </w:r>
    </w:p>
    <w:p w:rsidR="00CD0C68" w:rsidRPr="00CD0C68" w:rsidRDefault="00CD0C68" w:rsidP="00CD0C68">
      <w:pPr>
        <w:spacing w:after="0" w:line="240" w:lineRule="auto"/>
        <w:jc w:val="both"/>
        <w:rPr>
          <w:rFonts w:ascii="Arial" w:eastAsia="Times New Roman" w:hAnsi="Arial" w:cs="Arial"/>
          <w:sz w:val="20"/>
          <w:szCs w:val="20"/>
          <w:lang w:eastAsia="es-ES"/>
        </w:rPr>
      </w:pPr>
      <w:r w:rsidRPr="00CD0C68">
        <w:rPr>
          <w:rFonts w:ascii="Arial" w:eastAsia="Times New Roman" w:hAnsi="Arial" w:cs="Arial"/>
          <w:sz w:val="20"/>
          <w:szCs w:val="20"/>
          <w:lang w:eastAsia="es-ES"/>
        </w:rPr>
        <w:t xml:space="preserve">                                                                                                                           </w:t>
      </w:r>
    </w:p>
    <w:p w:rsidR="00CD0C68" w:rsidRPr="00CD0C68" w:rsidRDefault="00CD0C68" w:rsidP="00CD0C68">
      <w:pPr>
        <w:spacing w:after="0" w:line="240" w:lineRule="auto"/>
        <w:jc w:val="both"/>
        <w:rPr>
          <w:rFonts w:ascii="Arial" w:eastAsia="Calibri" w:hAnsi="Arial" w:cs="Arial"/>
          <w:sz w:val="20"/>
          <w:szCs w:val="20"/>
        </w:rPr>
      </w:pPr>
      <w:r>
        <w:rPr>
          <w:rFonts w:ascii="Arial" w:eastAsia="Calibri" w:hAnsi="Arial" w:cs="Arial"/>
          <w:b/>
          <w:sz w:val="20"/>
          <w:szCs w:val="20"/>
        </w:rPr>
        <w:t>1.</w:t>
      </w:r>
      <w:r w:rsidRPr="00CD0C68">
        <w:rPr>
          <w:rFonts w:ascii="Arial" w:eastAsia="Calibri" w:hAnsi="Arial" w:cs="Arial"/>
          <w:b/>
          <w:sz w:val="20"/>
          <w:szCs w:val="20"/>
        </w:rPr>
        <w:t xml:space="preserve"> INTRODUCCIÓN</w:t>
      </w:r>
      <w:r w:rsidRPr="00CD0C68">
        <w:rPr>
          <w:rFonts w:ascii="Arial" w:eastAsia="Calibri" w:hAnsi="Arial" w:cs="Arial"/>
          <w:sz w:val="20"/>
          <w:szCs w:val="20"/>
        </w:rPr>
        <w:t>.</w:t>
      </w:r>
    </w:p>
    <w:p w:rsidR="005F1738" w:rsidRPr="005F1738" w:rsidRDefault="00CD0C68" w:rsidP="005F1738">
      <w:pPr>
        <w:spacing w:after="0" w:line="240" w:lineRule="auto"/>
        <w:ind w:firstLine="708"/>
        <w:jc w:val="both"/>
        <w:rPr>
          <w:rFonts w:ascii="Arial" w:eastAsia="Calibri" w:hAnsi="Arial" w:cs="Arial"/>
          <w:sz w:val="20"/>
          <w:szCs w:val="20"/>
        </w:rPr>
      </w:pPr>
      <w:r w:rsidRPr="00CD0C68">
        <w:rPr>
          <w:rFonts w:ascii="Arial" w:eastAsia="Calibri" w:hAnsi="Arial" w:cs="Arial"/>
          <w:sz w:val="20"/>
          <w:szCs w:val="20"/>
        </w:rPr>
        <w:t xml:space="preserve"> </w:t>
      </w:r>
      <w:r w:rsidR="005F1738" w:rsidRPr="005F1738">
        <w:rPr>
          <w:rFonts w:ascii="Arial" w:eastAsia="Calibri" w:hAnsi="Arial" w:cs="Arial"/>
          <w:sz w:val="20"/>
          <w:szCs w:val="20"/>
        </w:rPr>
        <w:t>El desarrollo y aumento en la esperanza de vida, ha desencadenado el envejecimiento de la población, lo cual prolonga la exposición a diferentes factores de riesgo que dan inicio a patologías propias del adulto o adulto mayor, entre las que se destacan por su frecuencia los tumores malignos.</w:t>
      </w:r>
    </w:p>
    <w:p w:rsidR="00CD0C68" w:rsidRDefault="005F1738" w:rsidP="005F1738">
      <w:pPr>
        <w:spacing w:after="0" w:line="240" w:lineRule="auto"/>
        <w:jc w:val="both"/>
        <w:rPr>
          <w:rFonts w:ascii="Arial" w:eastAsia="Calibri" w:hAnsi="Arial" w:cs="Arial"/>
          <w:sz w:val="20"/>
          <w:szCs w:val="20"/>
        </w:rPr>
      </w:pPr>
      <w:r w:rsidRPr="005F1738">
        <w:rPr>
          <w:rFonts w:ascii="Arial" w:eastAsia="Calibri" w:hAnsi="Arial" w:cs="Arial"/>
          <w:sz w:val="20"/>
          <w:szCs w:val="20"/>
        </w:rPr>
        <w:t>Entre las neoplasias malignas, el 90% de los canceres de pulmón se atribuye al tabaquismo, mientras que el cáncer de colon y próstata se relacionan con el grado de desarrollo y de envejecimiento de la población. Los tumores se ubican en el segundo lugar de la mortalidad general, de</w:t>
      </w:r>
      <w:r w:rsidR="006042F3">
        <w:rPr>
          <w:rFonts w:ascii="Arial" w:eastAsia="Calibri" w:hAnsi="Arial" w:cs="Arial"/>
          <w:sz w:val="20"/>
          <w:szCs w:val="20"/>
        </w:rPr>
        <w:t xml:space="preserve"> población mayor de 60 años. (3</w:t>
      </w:r>
      <w:r w:rsidRPr="005F1738">
        <w:rPr>
          <w:rFonts w:ascii="Arial" w:eastAsia="Calibri" w:hAnsi="Arial" w:cs="Arial"/>
          <w:sz w:val="20"/>
          <w:szCs w:val="20"/>
        </w:rPr>
        <w:t>)</w:t>
      </w:r>
    </w:p>
    <w:p w:rsidR="00CD0C68" w:rsidRDefault="00CD0C68" w:rsidP="00CD0C68">
      <w:pPr>
        <w:spacing w:after="0" w:line="240" w:lineRule="auto"/>
        <w:jc w:val="both"/>
        <w:rPr>
          <w:rFonts w:ascii="Arial" w:eastAsia="Times New Roman" w:hAnsi="Arial" w:cs="Arial"/>
          <w:b/>
          <w:sz w:val="20"/>
          <w:szCs w:val="20"/>
        </w:rPr>
      </w:pPr>
    </w:p>
    <w:p w:rsidR="00797C82" w:rsidRPr="005F1738" w:rsidRDefault="00CD0C68" w:rsidP="00797C82">
      <w:pPr>
        <w:spacing w:after="0" w:line="240" w:lineRule="auto"/>
        <w:jc w:val="both"/>
        <w:rPr>
          <w:rFonts w:ascii="Arial" w:eastAsia="Times New Roman" w:hAnsi="Arial" w:cs="Arial"/>
          <w:b/>
          <w:sz w:val="20"/>
          <w:szCs w:val="20"/>
        </w:rPr>
      </w:pPr>
      <w:r w:rsidRPr="00CD0C68">
        <w:rPr>
          <w:rFonts w:ascii="Arial" w:eastAsia="Times New Roman" w:hAnsi="Arial" w:cs="Arial"/>
          <w:b/>
          <w:sz w:val="20"/>
          <w:szCs w:val="20"/>
        </w:rPr>
        <w:t>2.- TEORÍA.</w:t>
      </w:r>
    </w:p>
    <w:p w:rsidR="005F1738" w:rsidRPr="00F15A45" w:rsidRDefault="005F1738" w:rsidP="00797C82">
      <w:pPr>
        <w:pStyle w:val="DaHrO"/>
        <w:spacing w:line="240" w:lineRule="auto"/>
        <w:ind w:firstLine="708"/>
        <w:rPr>
          <w:sz w:val="20"/>
          <w:szCs w:val="20"/>
        </w:rPr>
      </w:pPr>
      <w:r w:rsidRPr="005F1738">
        <w:rPr>
          <w:sz w:val="20"/>
          <w:szCs w:val="20"/>
        </w:rPr>
        <w:t>El  cáncer de próstata figura entre las diez primeras causas de muerte entre los hombres en Jalisco. Tiene el primer lugar dentro de las enfermedades cancerígenas que ellos padecen. (</w:t>
      </w:r>
      <w:r w:rsidR="00C502CE">
        <w:rPr>
          <w:sz w:val="20"/>
          <w:szCs w:val="20"/>
        </w:rPr>
        <w:t>4</w:t>
      </w:r>
      <w:r w:rsidRPr="005F1738">
        <w:rPr>
          <w:sz w:val="20"/>
          <w:szCs w:val="20"/>
        </w:rPr>
        <w:t>)</w:t>
      </w:r>
    </w:p>
    <w:p w:rsidR="00F15A45" w:rsidRPr="005F1738" w:rsidRDefault="00F15A45" w:rsidP="00F15A45">
      <w:pPr>
        <w:pStyle w:val="DaHrO"/>
        <w:spacing w:line="240" w:lineRule="auto"/>
        <w:rPr>
          <w:sz w:val="20"/>
          <w:szCs w:val="20"/>
        </w:rPr>
      </w:pPr>
      <w:r w:rsidRPr="00F15A45">
        <w:rPr>
          <w:sz w:val="20"/>
          <w:szCs w:val="20"/>
        </w:rPr>
        <w:lastRenderedPageBreak/>
        <w:t>En un lapso de nueve años, las defunciones a causa de cáncer de próstata en Jalisco aumentaron considerablemente. En 1997 se tuvieron 288 muertes por esta causa, y la incidencia siguió creciendo hasta llegar a 2006, cuando se registró la muerte de 443 hombr</w:t>
      </w:r>
      <w:r w:rsidR="00797C82">
        <w:rPr>
          <w:sz w:val="20"/>
          <w:szCs w:val="20"/>
        </w:rPr>
        <w:t>es</w:t>
      </w:r>
      <w:r w:rsidRPr="00F15A45">
        <w:rPr>
          <w:sz w:val="20"/>
          <w:szCs w:val="20"/>
        </w:rPr>
        <w:t xml:space="preserve"> (</w:t>
      </w:r>
      <w:r w:rsidR="00C502CE">
        <w:rPr>
          <w:sz w:val="20"/>
          <w:szCs w:val="20"/>
        </w:rPr>
        <w:t>4</w:t>
      </w:r>
      <w:r w:rsidRPr="00F15A45">
        <w:rPr>
          <w:sz w:val="20"/>
          <w:szCs w:val="20"/>
        </w:rPr>
        <w:t>)</w:t>
      </w:r>
      <w:r w:rsidR="00797C82">
        <w:rPr>
          <w:sz w:val="20"/>
          <w:szCs w:val="20"/>
        </w:rPr>
        <w:t>.</w:t>
      </w:r>
    </w:p>
    <w:p w:rsidR="00F15A45" w:rsidRPr="00F15A45" w:rsidRDefault="00F15A45" w:rsidP="00F15A45">
      <w:pPr>
        <w:pStyle w:val="DaHrO"/>
        <w:spacing w:line="240" w:lineRule="auto"/>
        <w:rPr>
          <w:sz w:val="20"/>
          <w:szCs w:val="20"/>
        </w:rPr>
      </w:pPr>
      <w:r w:rsidRPr="00F15A45">
        <w:rPr>
          <w:sz w:val="20"/>
          <w:szCs w:val="20"/>
        </w:rPr>
        <w:t xml:space="preserve">El cáncer de próstata es el tipo </w:t>
      </w:r>
      <w:r w:rsidR="00797C82" w:rsidRPr="00F15A45">
        <w:rPr>
          <w:sz w:val="20"/>
          <w:szCs w:val="20"/>
        </w:rPr>
        <w:t>más</w:t>
      </w:r>
      <w:r w:rsidRPr="00F15A45">
        <w:rPr>
          <w:sz w:val="20"/>
          <w:szCs w:val="20"/>
        </w:rPr>
        <w:t xml:space="preserve"> común de cáncer (excluyendo el cáncer de piel) entre los estadounidenses de sexo masculino. De acuerdo a la Sociedad Estadounidense del Cá</w:t>
      </w:r>
      <w:r w:rsidR="00797C82">
        <w:rPr>
          <w:sz w:val="20"/>
          <w:szCs w:val="20"/>
        </w:rPr>
        <w:t xml:space="preserve">ncer. Los hombres de 50 años </w:t>
      </w:r>
      <w:r w:rsidRPr="00F15A45">
        <w:rPr>
          <w:sz w:val="20"/>
          <w:szCs w:val="20"/>
        </w:rPr>
        <w:t>y los que tienen más</w:t>
      </w:r>
      <w:r w:rsidR="00797C82">
        <w:rPr>
          <w:sz w:val="20"/>
          <w:szCs w:val="20"/>
        </w:rPr>
        <w:t xml:space="preserve"> de 45 años de edad </w:t>
      </w:r>
      <w:r w:rsidRPr="00F15A45">
        <w:rPr>
          <w:sz w:val="20"/>
          <w:szCs w:val="20"/>
        </w:rPr>
        <w:t xml:space="preserve">se encuentran en grupos de alto riesgo, como los </w:t>
      </w:r>
      <w:r w:rsidR="00797C82" w:rsidRPr="00F15A45">
        <w:rPr>
          <w:sz w:val="20"/>
          <w:szCs w:val="20"/>
        </w:rPr>
        <w:t>afro estadunidenses</w:t>
      </w:r>
      <w:r w:rsidRPr="00F15A45">
        <w:rPr>
          <w:sz w:val="20"/>
          <w:szCs w:val="20"/>
        </w:rPr>
        <w:t xml:space="preserve"> y los hombres con antecedentes familiares documentados de cáncer de próstata, deberían hacer</w:t>
      </w:r>
      <w:r w:rsidR="00797C82">
        <w:rPr>
          <w:sz w:val="20"/>
          <w:szCs w:val="20"/>
        </w:rPr>
        <w:t>se</w:t>
      </w:r>
      <w:r w:rsidRPr="00F15A45">
        <w:rPr>
          <w:sz w:val="20"/>
          <w:szCs w:val="20"/>
        </w:rPr>
        <w:t xml:space="preserve"> una prueba de sangre de </w:t>
      </w:r>
      <w:r w:rsidR="00797C82">
        <w:rPr>
          <w:sz w:val="20"/>
          <w:szCs w:val="20"/>
        </w:rPr>
        <w:t>A</w:t>
      </w:r>
      <w:r w:rsidRPr="00F15A45">
        <w:rPr>
          <w:sz w:val="20"/>
          <w:szCs w:val="20"/>
        </w:rPr>
        <w:t>ntígeno</w:t>
      </w:r>
      <w:r w:rsidR="00797C82">
        <w:rPr>
          <w:sz w:val="20"/>
          <w:szCs w:val="20"/>
        </w:rPr>
        <w:t xml:space="preserve"> E</w:t>
      </w:r>
      <w:r w:rsidRPr="00F15A45">
        <w:rPr>
          <w:sz w:val="20"/>
          <w:szCs w:val="20"/>
        </w:rPr>
        <w:t>specí</w:t>
      </w:r>
      <w:r w:rsidR="00797C82">
        <w:rPr>
          <w:sz w:val="20"/>
          <w:szCs w:val="20"/>
        </w:rPr>
        <w:t>fico Prostático</w:t>
      </w:r>
      <w:r w:rsidRPr="00F15A45">
        <w:rPr>
          <w:sz w:val="20"/>
          <w:szCs w:val="20"/>
        </w:rPr>
        <w:t xml:space="preserve"> y examen rectal digital una vez al año. (</w:t>
      </w:r>
      <w:r w:rsidR="00C502CE">
        <w:rPr>
          <w:sz w:val="20"/>
          <w:szCs w:val="20"/>
        </w:rPr>
        <w:t>6</w:t>
      </w:r>
      <w:r w:rsidRPr="00F15A45">
        <w:rPr>
          <w:sz w:val="20"/>
          <w:szCs w:val="20"/>
        </w:rPr>
        <w:t>)</w:t>
      </w:r>
    </w:p>
    <w:p w:rsidR="00F15A45" w:rsidRPr="00F15A45" w:rsidRDefault="00F15A45" w:rsidP="00F15A45">
      <w:pPr>
        <w:pStyle w:val="DaHrO"/>
        <w:spacing w:line="240" w:lineRule="auto"/>
        <w:rPr>
          <w:sz w:val="20"/>
          <w:szCs w:val="20"/>
        </w:rPr>
      </w:pPr>
      <w:r w:rsidRPr="00F15A45">
        <w:rPr>
          <w:sz w:val="20"/>
          <w:szCs w:val="20"/>
        </w:rPr>
        <w:t>El cáncer de próstata es uno de los tipos de cáncer cada día más frecuentes y comunes en el hombre y se estima que la incidencia aumenta conforme la edad</w:t>
      </w:r>
      <w:r w:rsidR="00797C82">
        <w:rPr>
          <w:sz w:val="20"/>
          <w:szCs w:val="20"/>
        </w:rPr>
        <w:t xml:space="preserve"> </w:t>
      </w:r>
      <w:r w:rsidRPr="00F15A45">
        <w:rPr>
          <w:sz w:val="20"/>
          <w:szCs w:val="20"/>
        </w:rPr>
        <w:t>(</w:t>
      </w:r>
      <w:r w:rsidR="00C502CE">
        <w:rPr>
          <w:sz w:val="20"/>
          <w:szCs w:val="20"/>
        </w:rPr>
        <w:t>2</w:t>
      </w:r>
      <w:r w:rsidRPr="00F15A45">
        <w:rPr>
          <w:sz w:val="20"/>
          <w:szCs w:val="20"/>
        </w:rPr>
        <w:t>)</w:t>
      </w:r>
      <w:r w:rsidR="00797C82">
        <w:rPr>
          <w:sz w:val="20"/>
          <w:szCs w:val="20"/>
        </w:rPr>
        <w:t>.</w:t>
      </w:r>
      <w:r w:rsidRPr="00F15A45">
        <w:rPr>
          <w:sz w:val="20"/>
          <w:szCs w:val="20"/>
        </w:rPr>
        <w:t xml:space="preserve">  El 87 % de las defunciones se registran en la población masculina mayor de 65 años</w:t>
      </w:r>
      <w:r w:rsidR="00797C82">
        <w:rPr>
          <w:sz w:val="20"/>
          <w:szCs w:val="20"/>
        </w:rPr>
        <w:t xml:space="preserve"> </w:t>
      </w:r>
      <w:r w:rsidRPr="00F15A45">
        <w:rPr>
          <w:sz w:val="20"/>
          <w:szCs w:val="20"/>
        </w:rPr>
        <w:t>(1)</w:t>
      </w:r>
      <w:r w:rsidR="00797C82">
        <w:rPr>
          <w:sz w:val="20"/>
          <w:szCs w:val="20"/>
        </w:rPr>
        <w:t>.</w:t>
      </w:r>
    </w:p>
    <w:p w:rsidR="00F15A45" w:rsidRPr="00F15A45" w:rsidRDefault="004D7401" w:rsidP="00F15A45">
      <w:pPr>
        <w:pStyle w:val="DaHrO"/>
        <w:spacing w:line="240" w:lineRule="auto"/>
        <w:rPr>
          <w:sz w:val="20"/>
          <w:szCs w:val="20"/>
        </w:rPr>
      </w:pPr>
      <w:r>
        <w:rPr>
          <w:sz w:val="20"/>
          <w:szCs w:val="20"/>
        </w:rPr>
        <w:t>S</w:t>
      </w:r>
      <w:r w:rsidR="00F15A45" w:rsidRPr="00F15A45">
        <w:rPr>
          <w:sz w:val="20"/>
          <w:szCs w:val="20"/>
        </w:rPr>
        <w:t>e produce cuando algunas células prostáticas mutan y comienzan a multiplicarse descontroladamente. Éstas también podrían propagarse desde la próstata a otras partes del cuerpo, especialmente los huesos y los ganglios linfáticos originando una metástasis. Esta afección puede causar dolor, micción dificultosa, disfunción eréctil, entre otros síntomas (</w:t>
      </w:r>
      <w:r w:rsidR="00C502CE">
        <w:rPr>
          <w:sz w:val="20"/>
          <w:szCs w:val="20"/>
        </w:rPr>
        <w:t>8</w:t>
      </w:r>
      <w:r w:rsidR="00F15A45" w:rsidRPr="00F15A45">
        <w:rPr>
          <w:sz w:val="20"/>
          <w:szCs w:val="20"/>
        </w:rPr>
        <w:t>)</w:t>
      </w:r>
      <w:r w:rsidR="00797C82">
        <w:rPr>
          <w:sz w:val="20"/>
          <w:szCs w:val="20"/>
        </w:rPr>
        <w:t>.</w:t>
      </w:r>
    </w:p>
    <w:p w:rsidR="00F15A45" w:rsidRPr="00F15A45" w:rsidRDefault="00F15A45" w:rsidP="00F15A45">
      <w:pPr>
        <w:pStyle w:val="DaHrO"/>
        <w:spacing w:line="240" w:lineRule="auto"/>
        <w:rPr>
          <w:sz w:val="20"/>
          <w:szCs w:val="20"/>
        </w:rPr>
      </w:pPr>
      <w:r w:rsidRPr="00F15A45">
        <w:rPr>
          <w:sz w:val="20"/>
          <w:szCs w:val="20"/>
        </w:rPr>
        <w:t>El cáncer de próstata se da con mayor frecuencia en hombres mayores. La próstata sigue creciendo durante la mayor parte de la vida de un hombre, de forma que es muy frecuente presentar a partir de los 60 años una condición inocua llamada próstata "agrandada" o hipertrofia prostática benigna (HPB), mucho más común que el cáncer de próstata. Muchos de los signos y síntomas de la HPB son los mismos que los del cáncer de próstata.</w:t>
      </w:r>
    </w:p>
    <w:p w:rsidR="00F15A45" w:rsidRPr="00F15A45" w:rsidRDefault="00F15A45" w:rsidP="00F15A45">
      <w:pPr>
        <w:pStyle w:val="DaHrO"/>
        <w:spacing w:line="240" w:lineRule="auto"/>
        <w:rPr>
          <w:sz w:val="20"/>
          <w:szCs w:val="20"/>
        </w:rPr>
      </w:pPr>
      <w:r w:rsidRPr="00F15A45">
        <w:rPr>
          <w:sz w:val="20"/>
          <w:szCs w:val="20"/>
        </w:rPr>
        <w:t>Como ocurre con muchos tipos de cáncer, la detección y el tratamiento tempranos aumentan las perspectivas de curación. Además, el cáncer de próstata es un tipo de cáncer que crece lentamente. Cuando se desarrolla muy a finales de la vida, como es frecuentemente el caso, la repercusión de la enfermedad puede ser mínima. En efecto, mucho</w:t>
      </w:r>
      <w:r w:rsidR="00797C82">
        <w:rPr>
          <w:sz w:val="20"/>
          <w:szCs w:val="20"/>
        </w:rPr>
        <w:t>s hombres con esta enfermedad</w:t>
      </w:r>
      <w:r w:rsidRPr="00F15A45">
        <w:rPr>
          <w:sz w:val="20"/>
          <w:szCs w:val="20"/>
        </w:rPr>
        <w:t xml:space="preserve"> mueren con el tiempo de caus</w:t>
      </w:r>
      <w:r w:rsidR="00797C82">
        <w:rPr>
          <w:sz w:val="20"/>
          <w:szCs w:val="20"/>
        </w:rPr>
        <w:t>as no relacionadas con el</w:t>
      </w:r>
      <w:r w:rsidRPr="00F15A45">
        <w:rPr>
          <w:sz w:val="20"/>
          <w:szCs w:val="20"/>
        </w:rPr>
        <w:t xml:space="preserve"> mismo.</w:t>
      </w:r>
    </w:p>
    <w:p w:rsidR="00F15A45" w:rsidRPr="00F15A45" w:rsidRDefault="00797C82" w:rsidP="00F15A45">
      <w:pPr>
        <w:pStyle w:val="DaHrO"/>
        <w:spacing w:line="240" w:lineRule="auto"/>
        <w:rPr>
          <w:sz w:val="20"/>
          <w:szCs w:val="20"/>
        </w:rPr>
      </w:pPr>
      <w:r>
        <w:rPr>
          <w:sz w:val="20"/>
          <w:szCs w:val="20"/>
        </w:rPr>
        <w:t>S</w:t>
      </w:r>
      <w:r w:rsidR="00F15A45" w:rsidRPr="00F15A45">
        <w:rPr>
          <w:sz w:val="20"/>
          <w:szCs w:val="20"/>
        </w:rPr>
        <w:t>ólo presenta síntomas cuando su tamaño rebasa el tamaño normal y tiene algún grado de invasión, por esto debemos evaluar la sintomatología prostática</w:t>
      </w:r>
      <w:r>
        <w:rPr>
          <w:sz w:val="20"/>
          <w:szCs w:val="20"/>
        </w:rPr>
        <w:t xml:space="preserve"> y cuando se requiera pedir un Antígeno Prostático E</w:t>
      </w:r>
      <w:r w:rsidR="00F15A45" w:rsidRPr="00F15A45">
        <w:rPr>
          <w:sz w:val="20"/>
          <w:szCs w:val="20"/>
        </w:rPr>
        <w:t>specífico a todo hombre mayor de 50 años, de acuerdo a sus factores de riesgo determinar la periodicidad y siempre que presenten factores de riesgo, o encuesta de factores de riesgo posit</w:t>
      </w:r>
      <w:r w:rsidR="004D7401">
        <w:rPr>
          <w:sz w:val="20"/>
          <w:szCs w:val="20"/>
        </w:rPr>
        <w:t>iva, examinar con tacto rectal</w:t>
      </w:r>
      <w:r w:rsidR="00F15A45" w:rsidRPr="00F15A45">
        <w:rPr>
          <w:sz w:val="20"/>
          <w:szCs w:val="20"/>
        </w:rPr>
        <w:t xml:space="preserve"> (1)</w:t>
      </w:r>
      <w:r w:rsidR="004D7401">
        <w:rPr>
          <w:sz w:val="20"/>
          <w:szCs w:val="20"/>
        </w:rPr>
        <w:t>.</w:t>
      </w:r>
    </w:p>
    <w:p w:rsidR="00F15A45" w:rsidRPr="00F15A45" w:rsidRDefault="00F15A45" w:rsidP="00F15A45">
      <w:pPr>
        <w:pStyle w:val="DaHrO"/>
        <w:spacing w:line="240" w:lineRule="auto"/>
        <w:rPr>
          <w:sz w:val="20"/>
          <w:szCs w:val="20"/>
        </w:rPr>
      </w:pPr>
      <w:r w:rsidRPr="00F15A45">
        <w:rPr>
          <w:sz w:val="20"/>
          <w:szCs w:val="20"/>
        </w:rPr>
        <w:t xml:space="preserve">En el </w:t>
      </w:r>
      <w:proofErr w:type="spellStart"/>
      <w:r w:rsidRPr="00F15A45">
        <w:rPr>
          <w:sz w:val="20"/>
          <w:szCs w:val="20"/>
        </w:rPr>
        <w:t>CaP</w:t>
      </w:r>
      <w:proofErr w:type="spellEnd"/>
      <w:r w:rsidRPr="00F15A45">
        <w:rPr>
          <w:sz w:val="20"/>
          <w:szCs w:val="20"/>
        </w:rPr>
        <w:t xml:space="preserve">, el PSA se eleva y ese dato permite presumir la existencia de un </w:t>
      </w:r>
      <w:proofErr w:type="spellStart"/>
      <w:r w:rsidRPr="00F15A45">
        <w:rPr>
          <w:sz w:val="20"/>
          <w:szCs w:val="20"/>
        </w:rPr>
        <w:t>CaP</w:t>
      </w:r>
      <w:proofErr w:type="spellEnd"/>
      <w:r w:rsidRPr="00F15A45">
        <w:rPr>
          <w:sz w:val="20"/>
          <w:szCs w:val="20"/>
        </w:rPr>
        <w:t xml:space="preserve"> aunque no lo certifica en absoluto. El PSA se eleva también en el adenoma de la próstata (HBP) y en la prostatitis. (</w:t>
      </w:r>
      <w:r w:rsidR="00C502CE">
        <w:rPr>
          <w:sz w:val="20"/>
          <w:szCs w:val="20"/>
        </w:rPr>
        <w:t>4,5</w:t>
      </w:r>
      <w:r w:rsidRPr="00F15A45">
        <w:rPr>
          <w:sz w:val="20"/>
          <w:szCs w:val="20"/>
        </w:rPr>
        <w:t>)</w:t>
      </w:r>
    </w:p>
    <w:p w:rsidR="00F15A45" w:rsidRPr="00F15A45" w:rsidRDefault="00F15A45" w:rsidP="00F15A45">
      <w:pPr>
        <w:pStyle w:val="DaHrO"/>
        <w:spacing w:line="240" w:lineRule="auto"/>
        <w:rPr>
          <w:sz w:val="20"/>
          <w:szCs w:val="20"/>
        </w:rPr>
      </w:pPr>
      <w:r w:rsidRPr="00F15A45">
        <w:rPr>
          <w:sz w:val="20"/>
          <w:szCs w:val="20"/>
        </w:rPr>
        <w:t xml:space="preserve">El antígeno prostático específico (frecuentemente abreviado por sus siglas en inglés, PSA), es una sustancia proteica sintetizada por células de la próstata y cuya función es la disolución del coágulo seminal. Es una proteína de síntesis exclusiva en la próstata. Una pequeñísima parte de este PSA pasa a la circulación sanguínea de hombres sanos, y es precisamente este PSA que pasa a la sangre, el que se mide para el diagnóstico, pronóstico y seguimiento del cáncer, tanto localizado como </w:t>
      </w:r>
      <w:proofErr w:type="spellStart"/>
      <w:r w:rsidRPr="00F15A45">
        <w:rPr>
          <w:sz w:val="20"/>
          <w:szCs w:val="20"/>
        </w:rPr>
        <w:t>metastásico</w:t>
      </w:r>
      <w:proofErr w:type="spellEnd"/>
      <w:r w:rsidRPr="00F15A45">
        <w:rPr>
          <w:sz w:val="20"/>
          <w:szCs w:val="20"/>
        </w:rPr>
        <w:t xml:space="preserve"> y otros trastornos de la próstata, como la prostatitis. </w:t>
      </w:r>
    </w:p>
    <w:p w:rsidR="00F15A45" w:rsidRDefault="00F15A45" w:rsidP="00F15A45">
      <w:pPr>
        <w:pStyle w:val="DaHrO"/>
        <w:spacing w:line="240" w:lineRule="auto"/>
        <w:rPr>
          <w:sz w:val="20"/>
          <w:szCs w:val="20"/>
        </w:rPr>
      </w:pPr>
      <w:r w:rsidRPr="00F15A45">
        <w:rPr>
          <w:sz w:val="20"/>
          <w:szCs w:val="20"/>
        </w:rPr>
        <w:t xml:space="preserve">Los niveles normales en sangre de PSA en los varones sanos son muy bajos, del orden de millones de veces menos que el semen, y se elevan en la enfermedad prostática. </w:t>
      </w:r>
    </w:p>
    <w:p w:rsidR="004D7401" w:rsidRPr="00F15A45" w:rsidRDefault="004D7401" w:rsidP="00F15A45">
      <w:pPr>
        <w:pStyle w:val="DaHrO"/>
        <w:spacing w:line="240" w:lineRule="auto"/>
        <w:rPr>
          <w:sz w:val="20"/>
          <w:szCs w:val="20"/>
        </w:rPr>
      </w:pPr>
    </w:p>
    <w:p w:rsidR="004D7401" w:rsidRPr="004D7401" w:rsidRDefault="004D7401" w:rsidP="004D7401">
      <w:pPr>
        <w:pStyle w:val="DaHrO"/>
        <w:spacing w:line="240" w:lineRule="auto"/>
        <w:rPr>
          <w:sz w:val="20"/>
          <w:szCs w:val="20"/>
        </w:rPr>
      </w:pPr>
      <w:r w:rsidRPr="004D7401">
        <w:rPr>
          <w:sz w:val="20"/>
          <w:szCs w:val="20"/>
        </w:rPr>
        <w:t xml:space="preserve">La sensibilidad de un ensayo se sienta por la porción de individuos con una enfermedad específica que el </w:t>
      </w:r>
      <w:r>
        <w:rPr>
          <w:sz w:val="20"/>
          <w:szCs w:val="20"/>
        </w:rPr>
        <w:t xml:space="preserve">ensayo establece correctamente. </w:t>
      </w:r>
      <w:r w:rsidRPr="004D7401">
        <w:rPr>
          <w:sz w:val="20"/>
          <w:szCs w:val="20"/>
        </w:rPr>
        <w:t>La especificidad de un ensayo se establece por la porción de individuos sin la enfermedad específica que e</w:t>
      </w:r>
      <w:r w:rsidR="00231053">
        <w:rPr>
          <w:sz w:val="20"/>
          <w:szCs w:val="20"/>
        </w:rPr>
        <w:t xml:space="preserve">l ensayo descarta correctamente </w:t>
      </w:r>
      <w:r w:rsidRPr="004D7401">
        <w:rPr>
          <w:sz w:val="20"/>
          <w:szCs w:val="20"/>
        </w:rPr>
        <w:t>(</w:t>
      </w:r>
      <w:r w:rsidR="00C502CE">
        <w:rPr>
          <w:sz w:val="20"/>
          <w:szCs w:val="20"/>
        </w:rPr>
        <w:t>8</w:t>
      </w:r>
      <w:r w:rsidRPr="004D7401">
        <w:rPr>
          <w:sz w:val="20"/>
          <w:szCs w:val="20"/>
        </w:rPr>
        <w:t>)</w:t>
      </w:r>
      <w:r w:rsidR="00231053">
        <w:rPr>
          <w:sz w:val="20"/>
          <w:szCs w:val="20"/>
        </w:rPr>
        <w:t>.</w:t>
      </w:r>
    </w:p>
    <w:p w:rsidR="00231053" w:rsidRDefault="004D7401" w:rsidP="00231053">
      <w:pPr>
        <w:pStyle w:val="DaHrO"/>
        <w:spacing w:line="240" w:lineRule="auto"/>
        <w:rPr>
          <w:sz w:val="20"/>
          <w:szCs w:val="20"/>
        </w:rPr>
      </w:pPr>
      <w:r w:rsidRPr="004D7401">
        <w:rPr>
          <w:sz w:val="20"/>
          <w:szCs w:val="20"/>
        </w:rPr>
        <w:t>En la determinación del PSA la sensibilidad es de un 70% y  la especificidad es de un 90%</w:t>
      </w:r>
      <w:r w:rsidR="00231053">
        <w:rPr>
          <w:sz w:val="20"/>
          <w:szCs w:val="20"/>
        </w:rPr>
        <w:t>. V</w:t>
      </w:r>
      <w:r w:rsidR="00231053" w:rsidRPr="00231053">
        <w:rPr>
          <w:sz w:val="20"/>
          <w:szCs w:val="20"/>
        </w:rPr>
        <w:t xml:space="preserve">alores de normalidad del PSA </w:t>
      </w:r>
      <w:r w:rsidR="00231053">
        <w:rPr>
          <w:sz w:val="20"/>
          <w:szCs w:val="20"/>
        </w:rPr>
        <w:t xml:space="preserve">de acuerdo a la edad del paciente </w:t>
      </w:r>
      <w:r w:rsidR="00231053" w:rsidRPr="00231053">
        <w:rPr>
          <w:sz w:val="20"/>
          <w:szCs w:val="20"/>
        </w:rPr>
        <w:t>(Según OESTERLING).</w:t>
      </w:r>
    </w:p>
    <w:p w:rsidR="00231053" w:rsidRPr="00231053" w:rsidRDefault="00231053" w:rsidP="00231053">
      <w:pPr>
        <w:pStyle w:val="DaHrO"/>
        <w:spacing w:line="240" w:lineRule="auto"/>
        <w:rPr>
          <w:sz w:val="20"/>
          <w:szCs w:val="20"/>
        </w:rPr>
      </w:pPr>
      <w:r>
        <w:rPr>
          <w:sz w:val="20"/>
          <w:szCs w:val="20"/>
        </w:rPr>
        <w:t xml:space="preserve">                              </w:t>
      </w:r>
    </w:p>
    <w:tbl>
      <w:tblPr>
        <w:tblW w:w="0" w:type="auto"/>
        <w:tblInd w:w="2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99"/>
      </w:tblGrid>
      <w:tr w:rsidR="00231053" w:rsidRPr="00231053" w:rsidTr="00231053">
        <w:trPr>
          <w:trHeight w:val="114"/>
        </w:trPr>
        <w:tc>
          <w:tcPr>
            <w:tcW w:w="1591" w:type="dxa"/>
          </w:tcPr>
          <w:p w:rsidR="00231053" w:rsidRPr="00231053" w:rsidRDefault="00231053" w:rsidP="00231053">
            <w:pPr>
              <w:pStyle w:val="DaHrO"/>
              <w:rPr>
                <w:sz w:val="16"/>
                <w:szCs w:val="16"/>
              </w:rPr>
            </w:pPr>
            <w:r w:rsidRPr="00231053">
              <w:rPr>
                <w:sz w:val="16"/>
                <w:szCs w:val="16"/>
              </w:rPr>
              <w:t>Grupo Etario</w:t>
            </w:r>
          </w:p>
        </w:tc>
        <w:tc>
          <w:tcPr>
            <w:tcW w:w="1299" w:type="dxa"/>
          </w:tcPr>
          <w:p w:rsidR="00231053" w:rsidRPr="00231053" w:rsidRDefault="00231053" w:rsidP="00231053">
            <w:pPr>
              <w:pStyle w:val="DaHrO"/>
              <w:rPr>
                <w:sz w:val="16"/>
                <w:szCs w:val="16"/>
              </w:rPr>
            </w:pPr>
            <w:r w:rsidRPr="00231053">
              <w:rPr>
                <w:sz w:val="16"/>
                <w:szCs w:val="16"/>
              </w:rPr>
              <w:t>Concentración</w:t>
            </w:r>
          </w:p>
        </w:tc>
      </w:tr>
      <w:tr w:rsidR="00231053" w:rsidRPr="00231053" w:rsidTr="00231053">
        <w:trPr>
          <w:trHeight w:val="109"/>
        </w:trPr>
        <w:tc>
          <w:tcPr>
            <w:tcW w:w="1591" w:type="dxa"/>
          </w:tcPr>
          <w:p w:rsidR="00231053" w:rsidRPr="00231053" w:rsidRDefault="00231053" w:rsidP="00231053">
            <w:pPr>
              <w:pStyle w:val="DaHrO"/>
              <w:rPr>
                <w:sz w:val="16"/>
                <w:szCs w:val="16"/>
              </w:rPr>
            </w:pPr>
            <w:r w:rsidRPr="00231053">
              <w:rPr>
                <w:sz w:val="16"/>
                <w:szCs w:val="16"/>
              </w:rPr>
              <w:t>Entre 40-49 años:</w:t>
            </w:r>
          </w:p>
        </w:tc>
        <w:tc>
          <w:tcPr>
            <w:tcW w:w="1299" w:type="dxa"/>
          </w:tcPr>
          <w:p w:rsidR="00231053" w:rsidRPr="00231053" w:rsidRDefault="00231053" w:rsidP="00231053">
            <w:pPr>
              <w:pStyle w:val="DaHrO"/>
              <w:rPr>
                <w:sz w:val="16"/>
                <w:szCs w:val="16"/>
              </w:rPr>
            </w:pPr>
            <w:r w:rsidRPr="00231053">
              <w:rPr>
                <w:sz w:val="16"/>
                <w:szCs w:val="16"/>
              </w:rPr>
              <w:t xml:space="preserve">&lt; 2.5 </w:t>
            </w:r>
            <w:proofErr w:type="spellStart"/>
            <w:r w:rsidRPr="00231053">
              <w:rPr>
                <w:sz w:val="16"/>
                <w:szCs w:val="16"/>
              </w:rPr>
              <w:t>ng</w:t>
            </w:r>
            <w:proofErr w:type="spellEnd"/>
            <w:r w:rsidRPr="00231053">
              <w:rPr>
                <w:sz w:val="16"/>
                <w:szCs w:val="16"/>
              </w:rPr>
              <w:t>/</w:t>
            </w:r>
            <w:proofErr w:type="spellStart"/>
            <w:r w:rsidRPr="00231053">
              <w:rPr>
                <w:sz w:val="16"/>
                <w:szCs w:val="16"/>
              </w:rPr>
              <w:t>mL</w:t>
            </w:r>
            <w:proofErr w:type="spellEnd"/>
          </w:p>
        </w:tc>
      </w:tr>
      <w:tr w:rsidR="00231053" w:rsidRPr="00231053" w:rsidTr="00231053">
        <w:trPr>
          <w:trHeight w:val="114"/>
        </w:trPr>
        <w:tc>
          <w:tcPr>
            <w:tcW w:w="1591" w:type="dxa"/>
          </w:tcPr>
          <w:p w:rsidR="00231053" w:rsidRPr="00231053" w:rsidRDefault="00231053" w:rsidP="00231053">
            <w:pPr>
              <w:pStyle w:val="DaHrO"/>
              <w:jc w:val="center"/>
              <w:rPr>
                <w:sz w:val="16"/>
                <w:szCs w:val="16"/>
              </w:rPr>
            </w:pPr>
            <w:r w:rsidRPr="00231053">
              <w:rPr>
                <w:sz w:val="16"/>
                <w:szCs w:val="16"/>
              </w:rPr>
              <w:t>Entre 50-59 años:</w:t>
            </w:r>
          </w:p>
        </w:tc>
        <w:tc>
          <w:tcPr>
            <w:tcW w:w="1299" w:type="dxa"/>
          </w:tcPr>
          <w:p w:rsidR="00231053" w:rsidRPr="00231053" w:rsidRDefault="00231053" w:rsidP="00231053">
            <w:pPr>
              <w:pStyle w:val="DaHrO"/>
              <w:rPr>
                <w:sz w:val="16"/>
                <w:szCs w:val="16"/>
              </w:rPr>
            </w:pPr>
            <w:r w:rsidRPr="00231053">
              <w:rPr>
                <w:sz w:val="16"/>
                <w:szCs w:val="16"/>
              </w:rPr>
              <w:t xml:space="preserve">&lt; 3.5 </w:t>
            </w:r>
            <w:proofErr w:type="spellStart"/>
            <w:r w:rsidRPr="00231053">
              <w:rPr>
                <w:sz w:val="16"/>
                <w:szCs w:val="16"/>
              </w:rPr>
              <w:t>ng</w:t>
            </w:r>
            <w:proofErr w:type="spellEnd"/>
            <w:r w:rsidRPr="00231053">
              <w:rPr>
                <w:sz w:val="16"/>
                <w:szCs w:val="16"/>
              </w:rPr>
              <w:t>/</w:t>
            </w:r>
            <w:proofErr w:type="spellStart"/>
            <w:r w:rsidRPr="00231053">
              <w:rPr>
                <w:sz w:val="16"/>
                <w:szCs w:val="16"/>
              </w:rPr>
              <w:t>mL</w:t>
            </w:r>
            <w:proofErr w:type="spellEnd"/>
          </w:p>
        </w:tc>
      </w:tr>
      <w:tr w:rsidR="00231053" w:rsidRPr="00231053" w:rsidTr="00231053">
        <w:trPr>
          <w:trHeight w:val="119"/>
        </w:trPr>
        <w:tc>
          <w:tcPr>
            <w:tcW w:w="1591" w:type="dxa"/>
          </w:tcPr>
          <w:p w:rsidR="00231053" w:rsidRPr="00231053" w:rsidRDefault="00231053" w:rsidP="00231053">
            <w:pPr>
              <w:pStyle w:val="DaHrO"/>
              <w:rPr>
                <w:sz w:val="16"/>
                <w:szCs w:val="16"/>
              </w:rPr>
            </w:pPr>
            <w:r w:rsidRPr="00231053">
              <w:rPr>
                <w:sz w:val="16"/>
                <w:szCs w:val="16"/>
              </w:rPr>
              <w:t>Entre 60-69 años:</w:t>
            </w:r>
          </w:p>
        </w:tc>
        <w:tc>
          <w:tcPr>
            <w:tcW w:w="1299" w:type="dxa"/>
          </w:tcPr>
          <w:p w:rsidR="00231053" w:rsidRPr="00231053" w:rsidRDefault="00231053" w:rsidP="00231053">
            <w:pPr>
              <w:pStyle w:val="DaHrO"/>
              <w:rPr>
                <w:sz w:val="16"/>
                <w:szCs w:val="16"/>
              </w:rPr>
            </w:pPr>
            <w:r w:rsidRPr="00231053">
              <w:rPr>
                <w:sz w:val="16"/>
                <w:szCs w:val="16"/>
              </w:rPr>
              <w:t xml:space="preserve">&lt; 4.5 </w:t>
            </w:r>
            <w:proofErr w:type="spellStart"/>
            <w:r w:rsidRPr="00231053">
              <w:rPr>
                <w:sz w:val="16"/>
                <w:szCs w:val="16"/>
              </w:rPr>
              <w:t>ng</w:t>
            </w:r>
            <w:proofErr w:type="spellEnd"/>
            <w:r w:rsidRPr="00231053">
              <w:rPr>
                <w:sz w:val="16"/>
                <w:szCs w:val="16"/>
              </w:rPr>
              <w:t>/</w:t>
            </w:r>
            <w:proofErr w:type="spellStart"/>
            <w:r w:rsidRPr="00231053">
              <w:rPr>
                <w:sz w:val="16"/>
                <w:szCs w:val="16"/>
              </w:rPr>
              <w:t>mL</w:t>
            </w:r>
            <w:proofErr w:type="spellEnd"/>
          </w:p>
        </w:tc>
      </w:tr>
      <w:tr w:rsidR="00231053" w:rsidRPr="00231053" w:rsidTr="00231053">
        <w:trPr>
          <w:trHeight w:val="119"/>
        </w:trPr>
        <w:tc>
          <w:tcPr>
            <w:tcW w:w="1591" w:type="dxa"/>
          </w:tcPr>
          <w:p w:rsidR="00231053" w:rsidRPr="00231053" w:rsidRDefault="00231053" w:rsidP="00231053">
            <w:pPr>
              <w:pStyle w:val="DaHrO"/>
              <w:rPr>
                <w:sz w:val="16"/>
                <w:szCs w:val="16"/>
              </w:rPr>
            </w:pPr>
            <w:r w:rsidRPr="00231053">
              <w:rPr>
                <w:sz w:val="16"/>
                <w:szCs w:val="16"/>
              </w:rPr>
              <w:t>Entre 70-79 años:</w:t>
            </w:r>
          </w:p>
        </w:tc>
        <w:tc>
          <w:tcPr>
            <w:tcW w:w="1299" w:type="dxa"/>
          </w:tcPr>
          <w:p w:rsidR="00231053" w:rsidRPr="00231053" w:rsidRDefault="00231053" w:rsidP="00231053">
            <w:pPr>
              <w:pStyle w:val="DaHrO"/>
              <w:rPr>
                <w:sz w:val="16"/>
                <w:szCs w:val="16"/>
              </w:rPr>
            </w:pPr>
            <w:r w:rsidRPr="00231053">
              <w:rPr>
                <w:sz w:val="16"/>
                <w:szCs w:val="16"/>
              </w:rPr>
              <w:t xml:space="preserve">&lt; 6.5 </w:t>
            </w:r>
            <w:proofErr w:type="spellStart"/>
            <w:r w:rsidRPr="00231053">
              <w:rPr>
                <w:sz w:val="16"/>
                <w:szCs w:val="16"/>
              </w:rPr>
              <w:t>ng</w:t>
            </w:r>
            <w:proofErr w:type="spellEnd"/>
            <w:r w:rsidRPr="00231053">
              <w:rPr>
                <w:sz w:val="16"/>
                <w:szCs w:val="16"/>
              </w:rPr>
              <w:t>/</w:t>
            </w:r>
            <w:proofErr w:type="spellStart"/>
            <w:r w:rsidRPr="00231053">
              <w:rPr>
                <w:sz w:val="16"/>
                <w:szCs w:val="16"/>
              </w:rPr>
              <w:t>mL</w:t>
            </w:r>
            <w:proofErr w:type="spellEnd"/>
          </w:p>
        </w:tc>
      </w:tr>
    </w:tbl>
    <w:p w:rsidR="005F1738" w:rsidRPr="00231053" w:rsidRDefault="005F1738" w:rsidP="00CD0C68">
      <w:pPr>
        <w:spacing w:after="0" w:line="240" w:lineRule="auto"/>
        <w:jc w:val="both"/>
        <w:rPr>
          <w:rFonts w:ascii="Arial" w:eastAsia="Calibri" w:hAnsi="Arial" w:cs="Times New Roman"/>
          <w:bCs/>
          <w:color w:val="262626"/>
          <w:sz w:val="20"/>
          <w:szCs w:val="20"/>
          <w:lang w:val="es-ES"/>
        </w:rPr>
      </w:pPr>
    </w:p>
    <w:p w:rsidR="00CD0C68" w:rsidRPr="00CD0C68" w:rsidRDefault="00CD0C68" w:rsidP="00CD0C68">
      <w:pPr>
        <w:autoSpaceDE w:val="0"/>
        <w:autoSpaceDN w:val="0"/>
        <w:adjustRightInd w:val="0"/>
        <w:spacing w:after="0" w:line="240" w:lineRule="auto"/>
        <w:ind w:firstLine="708"/>
        <w:jc w:val="both"/>
        <w:rPr>
          <w:rFonts w:ascii="Arial" w:eastAsia="Calibri" w:hAnsi="Arial" w:cs="Arial"/>
          <w:sz w:val="20"/>
          <w:szCs w:val="20"/>
        </w:rPr>
      </w:pPr>
      <w:r w:rsidRPr="00CD0C68">
        <w:rPr>
          <w:rFonts w:ascii="Arial" w:eastAsia="Calibri" w:hAnsi="Arial" w:cs="Arial"/>
          <w:sz w:val="20"/>
          <w:szCs w:val="20"/>
        </w:rPr>
        <w:lastRenderedPageBreak/>
        <w:tab/>
      </w:r>
    </w:p>
    <w:p w:rsidR="004D7401" w:rsidRDefault="00CD0C68" w:rsidP="004D7401">
      <w:pPr>
        <w:pStyle w:val="DaHrO"/>
        <w:spacing w:line="240" w:lineRule="auto"/>
        <w:rPr>
          <w:sz w:val="20"/>
          <w:szCs w:val="20"/>
        </w:rPr>
      </w:pPr>
      <w:r w:rsidRPr="00CD0C68">
        <w:rPr>
          <w:rFonts w:eastAsia="Times New Roman" w:cs="Arial"/>
          <w:b/>
          <w:sz w:val="20"/>
          <w:szCs w:val="20"/>
        </w:rPr>
        <w:t>3.</w:t>
      </w:r>
      <w:r w:rsidRPr="00CD0C68">
        <w:rPr>
          <w:rFonts w:eastAsia="Times New Roman" w:cs="Arial"/>
          <w:sz w:val="20"/>
          <w:szCs w:val="20"/>
        </w:rPr>
        <w:t xml:space="preserve"> </w:t>
      </w:r>
      <w:r w:rsidRPr="00CD0C68">
        <w:rPr>
          <w:rFonts w:eastAsia="Times New Roman" w:cs="Arial"/>
          <w:b/>
          <w:sz w:val="20"/>
          <w:szCs w:val="20"/>
        </w:rPr>
        <w:t>PARTE EXPERIMENTAL.</w:t>
      </w:r>
      <w:r w:rsidR="004D7401" w:rsidRPr="004D7401">
        <w:rPr>
          <w:bCs w:val="0"/>
        </w:rPr>
        <w:t xml:space="preserve"> </w:t>
      </w:r>
      <w:r w:rsidR="004D7401" w:rsidRPr="004D7401">
        <w:rPr>
          <w:sz w:val="20"/>
          <w:szCs w:val="20"/>
        </w:rPr>
        <w:t>Se seleccionaron un total de 300 pacientes que acudieron al Laboratorio de Análisis Clínicos del Nuevo Hospital Civil de Guadalajara (NHCG), a los cuales se les solicitó la determinación del Antígeno Prostático Específico (PSA).</w:t>
      </w:r>
      <w:r w:rsidR="004D7401" w:rsidRPr="004D7401">
        <w:rPr>
          <w:sz w:val="20"/>
          <w:szCs w:val="20"/>
        </w:rPr>
        <w:t xml:space="preserve"> </w:t>
      </w:r>
      <w:r w:rsidR="004D7401" w:rsidRPr="004D7401">
        <w:rPr>
          <w:sz w:val="20"/>
          <w:szCs w:val="20"/>
        </w:rPr>
        <w:t xml:space="preserve">Una vez obtenidas las muestras fueron procesadas con un método de ensayo Access </w:t>
      </w:r>
      <w:proofErr w:type="spellStart"/>
      <w:r w:rsidR="004D7401" w:rsidRPr="004D7401">
        <w:rPr>
          <w:sz w:val="20"/>
          <w:szCs w:val="20"/>
        </w:rPr>
        <w:t>Hybritech</w:t>
      </w:r>
      <w:proofErr w:type="spellEnd"/>
      <w:r w:rsidR="004D7401" w:rsidRPr="004D7401">
        <w:rPr>
          <w:sz w:val="20"/>
          <w:szCs w:val="20"/>
        </w:rPr>
        <w:t xml:space="preserve"> PSA, el cual es un </w:t>
      </w:r>
      <w:proofErr w:type="spellStart"/>
      <w:r w:rsidR="004D7401" w:rsidRPr="004D7401">
        <w:rPr>
          <w:sz w:val="20"/>
          <w:szCs w:val="20"/>
        </w:rPr>
        <w:t>inmunoensayo</w:t>
      </w:r>
      <w:proofErr w:type="spellEnd"/>
      <w:r w:rsidR="004D7401" w:rsidRPr="004D7401">
        <w:rPr>
          <w:sz w:val="20"/>
          <w:szCs w:val="20"/>
        </w:rPr>
        <w:t xml:space="preserve"> de quimioluminiscencia que se realiza en un equipo de BECKMAN COULTER</w:t>
      </w:r>
      <w:r w:rsidR="004D7401">
        <w:rPr>
          <w:sz w:val="20"/>
          <w:szCs w:val="20"/>
        </w:rPr>
        <w:t>.</w:t>
      </w:r>
      <w:r w:rsidR="004D7401" w:rsidRPr="004D7401">
        <w:rPr>
          <w:bCs w:val="0"/>
        </w:rPr>
        <w:t xml:space="preserve"> </w:t>
      </w:r>
      <w:r w:rsidR="004D7401" w:rsidRPr="004D7401">
        <w:rPr>
          <w:sz w:val="20"/>
          <w:szCs w:val="20"/>
        </w:rPr>
        <w:t>Los resultados obtenidos del estudio fueron vertidos en una base de datos. El análisis estadístico se llevó a cabo empleando el programa Excel 2007 (Microsoft Windows 2007). Los datos en este estudio desarrollaron una estadística descriptiva para obtener la frecuencia de cada una de las variables empl</w:t>
      </w:r>
      <w:r w:rsidR="00231053">
        <w:rPr>
          <w:sz w:val="20"/>
          <w:szCs w:val="20"/>
        </w:rPr>
        <w:t>eadas durante la</w:t>
      </w:r>
      <w:r w:rsidR="004D7401" w:rsidRPr="004D7401">
        <w:rPr>
          <w:sz w:val="20"/>
          <w:szCs w:val="20"/>
        </w:rPr>
        <w:t xml:space="preserve"> investigación.</w:t>
      </w:r>
    </w:p>
    <w:p w:rsidR="00231053" w:rsidRPr="004D7401" w:rsidRDefault="00231053" w:rsidP="004D7401">
      <w:pPr>
        <w:pStyle w:val="DaHrO"/>
        <w:spacing w:line="240" w:lineRule="auto"/>
        <w:rPr>
          <w:sz w:val="20"/>
          <w:szCs w:val="20"/>
        </w:rPr>
      </w:pPr>
      <w:r w:rsidRPr="00231053">
        <w:rPr>
          <w:sz w:val="20"/>
          <w:szCs w:val="20"/>
        </w:rPr>
        <w:t xml:space="preserve">Las clasificaciones del cáncer de próstata son variadas y las más precisas son las que dependen exclusivamente de los hallazgos quirúrgicos. </w:t>
      </w:r>
      <w:r>
        <w:rPr>
          <w:sz w:val="20"/>
          <w:szCs w:val="20"/>
        </w:rPr>
        <w:t xml:space="preserve"> </w:t>
      </w:r>
      <w:r w:rsidRPr="00231053">
        <w:rPr>
          <w:sz w:val="20"/>
          <w:szCs w:val="20"/>
        </w:rPr>
        <w:t>La clasificación más común es la que se refiere a la extensión del tumor (A, B, C, D). La explicación de esta técnica se ha adaptado a los conocimientos actuales, pues antiguamente se consideraba el antígeno prostático como parte de esta clasificación. Pero ya se sabe que su utilidad es muy restringida debido a que el PSA se eleva por muchas causas diferentes al cáncer de próstata. (32)</w:t>
      </w:r>
    </w:p>
    <w:p w:rsidR="00231053" w:rsidRPr="00C5459B" w:rsidRDefault="00C5459B" w:rsidP="00C5459B">
      <w:pPr>
        <w:pStyle w:val="DaHrO"/>
        <w:spacing w:line="240" w:lineRule="auto"/>
        <w:jc w:val="left"/>
        <w:rPr>
          <w:b/>
          <w:sz w:val="20"/>
          <w:szCs w:val="20"/>
        </w:rPr>
      </w:pPr>
      <w:r>
        <w:rPr>
          <w:b/>
          <w:sz w:val="20"/>
          <w:szCs w:val="20"/>
        </w:rPr>
        <w:t>Estadio A</w:t>
      </w:r>
      <w:r w:rsidR="00231053" w:rsidRPr="00231053">
        <w:rPr>
          <w:sz w:val="20"/>
          <w:szCs w:val="20"/>
        </w:rPr>
        <w:br/>
        <w:t>El cáncer está localizado dentro de la próstata y se encuentra casualmente cuando se extirpa esta para corregir una obstru</w:t>
      </w:r>
      <w:r w:rsidR="00231053">
        <w:rPr>
          <w:sz w:val="20"/>
          <w:szCs w:val="20"/>
        </w:rPr>
        <w:t>cción. Es generalmente curable.</w:t>
      </w:r>
    </w:p>
    <w:p w:rsidR="00231053" w:rsidRPr="00C5459B" w:rsidRDefault="00231053" w:rsidP="00C5459B">
      <w:pPr>
        <w:pStyle w:val="DaHrO"/>
        <w:spacing w:line="240" w:lineRule="auto"/>
        <w:jc w:val="left"/>
        <w:rPr>
          <w:b/>
          <w:sz w:val="20"/>
          <w:szCs w:val="20"/>
        </w:rPr>
      </w:pPr>
      <w:r w:rsidRPr="00C5459B">
        <w:rPr>
          <w:b/>
          <w:sz w:val="20"/>
          <w:szCs w:val="20"/>
        </w:rPr>
        <w:t>Estadio</w:t>
      </w:r>
      <w:r w:rsidR="00C5459B">
        <w:rPr>
          <w:b/>
          <w:sz w:val="20"/>
          <w:szCs w:val="20"/>
        </w:rPr>
        <w:t xml:space="preserve"> B</w:t>
      </w:r>
      <w:r w:rsidRPr="00231053">
        <w:rPr>
          <w:sz w:val="20"/>
          <w:szCs w:val="20"/>
        </w:rPr>
        <w:br/>
        <w:t>El cáncer, aún localizado exclusivamente dentro de la próstata, tiene el tamaño suficiente para sospecharse por los medios diagnósticos iniciales. Es generalmente curable.</w:t>
      </w:r>
    </w:p>
    <w:p w:rsidR="00231053" w:rsidRPr="00C5459B" w:rsidRDefault="00231053" w:rsidP="00C5459B">
      <w:pPr>
        <w:pStyle w:val="DaHrO"/>
        <w:spacing w:line="240" w:lineRule="auto"/>
        <w:rPr>
          <w:b/>
          <w:sz w:val="20"/>
          <w:szCs w:val="20"/>
        </w:rPr>
      </w:pPr>
      <w:r w:rsidRPr="00C5459B">
        <w:rPr>
          <w:b/>
          <w:sz w:val="20"/>
          <w:szCs w:val="20"/>
        </w:rPr>
        <w:t>Estadio</w:t>
      </w:r>
      <w:r w:rsidR="00C5459B">
        <w:rPr>
          <w:b/>
          <w:sz w:val="20"/>
          <w:szCs w:val="20"/>
        </w:rPr>
        <w:t xml:space="preserve"> C</w:t>
      </w:r>
    </w:p>
    <w:p w:rsidR="00231053" w:rsidRPr="00C5459B" w:rsidRDefault="00231053" w:rsidP="00231053">
      <w:pPr>
        <w:pStyle w:val="DaHrO"/>
        <w:spacing w:line="240" w:lineRule="auto"/>
        <w:rPr>
          <w:sz w:val="20"/>
          <w:szCs w:val="20"/>
        </w:rPr>
      </w:pPr>
      <w:r w:rsidRPr="00231053">
        <w:rPr>
          <w:sz w:val="20"/>
          <w:szCs w:val="20"/>
        </w:rPr>
        <w:t xml:space="preserve">El cáncer atraviesa la cápsula de la próstata y compromete tejidos vecinos pero aún no ha producido metástasis. Algunos son curables. Además de los medios diagnósticos iniciales es indispensable hacer una </w:t>
      </w:r>
      <w:proofErr w:type="spellStart"/>
      <w:r w:rsidRPr="00231053">
        <w:rPr>
          <w:sz w:val="20"/>
          <w:szCs w:val="20"/>
        </w:rPr>
        <w:t>gamagrafía</w:t>
      </w:r>
      <w:proofErr w:type="spellEnd"/>
      <w:r w:rsidRPr="00231053">
        <w:rPr>
          <w:sz w:val="20"/>
          <w:szCs w:val="20"/>
        </w:rPr>
        <w:t xml:space="preserve"> ósea para diferenciarlo del estadio D.</w:t>
      </w:r>
    </w:p>
    <w:p w:rsidR="00231053" w:rsidRPr="00C5459B" w:rsidRDefault="00C5459B" w:rsidP="00231053">
      <w:pPr>
        <w:pStyle w:val="DaHrO"/>
        <w:spacing w:line="240" w:lineRule="auto"/>
        <w:rPr>
          <w:b/>
          <w:sz w:val="20"/>
          <w:szCs w:val="20"/>
        </w:rPr>
      </w:pPr>
      <w:r>
        <w:rPr>
          <w:b/>
          <w:sz w:val="20"/>
          <w:szCs w:val="20"/>
        </w:rPr>
        <w:t>Estadio D</w:t>
      </w:r>
    </w:p>
    <w:p w:rsidR="00231053" w:rsidRPr="00231053" w:rsidRDefault="00231053" w:rsidP="00231053">
      <w:pPr>
        <w:pStyle w:val="DaHrO"/>
        <w:spacing w:line="240" w:lineRule="auto"/>
        <w:rPr>
          <w:sz w:val="20"/>
          <w:szCs w:val="20"/>
        </w:rPr>
      </w:pPr>
      <w:r w:rsidRPr="00231053">
        <w:rPr>
          <w:sz w:val="20"/>
          <w:szCs w:val="20"/>
        </w:rPr>
        <w:t xml:space="preserve">El cáncer ha producido metástasis especialmente a hueso (detectados en la </w:t>
      </w:r>
      <w:proofErr w:type="spellStart"/>
      <w:r w:rsidRPr="00231053">
        <w:rPr>
          <w:sz w:val="20"/>
          <w:szCs w:val="20"/>
        </w:rPr>
        <w:t>gamagrafía</w:t>
      </w:r>
      <w:proofErr w:type="spellEnd"/>
      <w:r w:rsidRPr="00231053">
        <w:rPr>
          <w:sz w:val="20"/>
          <w:szCs w:val="20"/>
        </w:rPr>
        <w:t>) y a ganglios linfáticos. No es curable actualmente p</w:t>
      </w:r>
      <w:r w:rsidR="00C5459B">
        <w:rPr>
          <w:sz w:val="20"/>
          <w:szCs w:val="20"/>
        </w:rPr>
        <w:t>ero hay tratamientos paliativos (24, 26)</w:t>
      </w:r>
    </w:p>
    <w:p w:rsidR="00CD0C68" w:rsidRPr="004D7401" w:rsidRDefault="00CD0C68" w:rsidP="00CD0C68">
      <w:pPr>
        <w:spacing w:after="0" w:line="240" w:lineRule="auto"/>
        <w:jc w:val="both"/>
        <w:rPr>
          <w:rFonts w:ascii="Arial" w:eastAsia="Times New Roman" w:hAnsi="Arial" w:cs="Arial"/>
          <w:b/>
          <w:sz w:val="20"/>
          <w:szCs w:val="20"/>
          <w:lang w:val="es-ES"/>
        </w:rPr>
      </w:pPr>
    </w:p>
    <w:p w:rsidR="00CD0C68" w:rsidRPr="00CD0C68" w:rsidRDefault="00CD0C68" w:rsidP="00CD0C68">
      <w:pPr>
        <w:autoSpaceDE w:val="0"/>
        <w:autoSpaceDN w:val="0"/>
        <w:adjustRightInd w:val="0"/>
        <w:spacing w:after="0" w:line="240" w:lineRule="auto"/>
        <w:jc w:val="both"/>
        <w:rPr>
          <w:rFonts w:ascii="Arial" w:eastAsia="Calibri" w:hAnsi="Arial" w:cs="Arial"/>
          <w:sz w:val="20"/>
          <w:szCs w:val="20"/>
          <w:lang w:eastAsia="es-MX"/>
        </w:rPr>
      </w:pPr>
    </w:p>
    <w:p w:rsidR="00C5459B" w:rsidRPr="00C5459B" w:rsidRDefault="00CD0C68" w:rsidP="00C5459B">
      <w:pPr>
        <w:spacing w:after="0" w:line="240" w:lineRule="auto"/>
        <w:jc w:val="both"/>
        <w:rPr>
          <w:rFonts w:ascii="Arial" w:eastAsia="Calibri" w:hAnsi="Arial" w:cs="Times New Roman"/>
          <w:bCs/>
          <w:color w:val="262626"/>
          <w:sz w:val="20"/>
          <w:szCs w:val="20"/>
          <w:lang w:val="es-ES"/>
        </w:rPr>
      </w:pPr>
      <w:r w:rsidRPr="00CD0C68">
        <w:rPr>
          <w:rFonts w:ascii="Arial" w:eastAsia="Times New Roman" w:hAnsi="Arial" w:cs="Arial"/>
          <w:b/>
          <w:sz w:val="20"/>
          <w:szCs w:val="20"/>
        </w:rPr>
        <w:t>GRÁFICO No 1.</w:t>
      </w:r>
      <w:r w:rsidRPr="00CD0C68">
        <w:rPr>
          <w:rFonts w:ascii="Arial" w:eastAsia="Times New Roman" w:hAnsi="Arial" w:cs="Arial"/>
          <w:sz w:val="24"/>
          <w:szCs w:val="24"/>
        </w:rPr>
        <w:t xml:space="preserve"> </w:t>
      </w:r>
      <w:r w:rsidR="00C5459B" w:rsidRPr="00C5459B">
        <w:rPr>
          <w:rFonts w:ascii="Arial" w:eastAsia="Calibri" w:hAnsi="Arial" w:cs="Times New Roman"/>
          <w:b/>
          <w:bCs/>
          <w:color w:val="262626"/>
          <w:sz w:val="20"/>
          <w:szCs w:val="20"/>
          <w:lang w:val="es-ES"/>
        </w:rPr>
        <w:t xml:space="preserve">Prevalencia de pacientes con valor de PSA por arriba de los 4 </w:t>
      </w:r>
      <w:proofErr w:type="spellStart"/>
      <w:r w:rsidR="00C5459B" w:rsidRPr="00C5459B">
        <w:rPr>
          <w:rFonts w:ascii="Arial" w:eastAsia="Calibri" w:hAnsi="Arial" w:cs="Times New Roman"/>
          <w:b/>
          <w:bCs/>
          <w:color w:val="262626"/>
          <w:sz w:val="20"/>
          <w:szCs w:val="20"/>
          <w:lang w:val="es-ES"/>
        </w:rPr>
        <w:t>ng</w:t>
      </w:r>
      <w:proofErr w:type="spellEnd"/>
      <w:r w:rsidR="00C5459B" w:rsidRPr="00C5459B">
        <w:rPr>
          <w:rFonts w:ascii="Arial" w:eastAsia="Calibri" w:hAnsi="Arial" w:cs="Times New Roman"/>
          <w:b/>
          <w:bCs/>
          <w:color w:val="262626"/>
          <w:sz w:val="20"/>
          <w:szCs w:val="20"/>
          <w:lang w:val="es-ES"/>
        </w:rPr>
        <w:t>/</w:t>
      </w:r>
      <w:proofErr w:type="spellStart"/>
      <w:r w:rsidR="00C5459B" w:rsidRPr="00C5459B">
        <w:rPr>
          <w:rFonts w:ascii="Arial" w:eastAsia="Calibri" w:hAnsi="Arial" w:cs="Times New Roman"/>
          <w:b/>
          <w:bCs/>
          <w:color w:val="262626"/>
          <w:sz w:val="20"/>
          <w:szCs w:val="20"/>
          <w:lang w:val="es-ES"/>
        </w:rPr>
        <w:t>dL</w:t>
      </w:r>
      <w:proofErr w:type="spellEnd"/>
      <w:r w:rsidR="00C5459B">
        <w:rPr>
          <w:rFonts w:ascii="Arial" w:eastAsia="Calibri" w:hAnsi="Arial" w:cs="Times New Roman"/>
          <w:b/>
          <w:bCs/>
          <w:color w:val="262626"/>
          <w:sz w:val="20"/>
          <w:szCs w:val="20"/>
          <w:lang w:val="es-ES"/>
        </w:rPr>
        <w:t>.</w:t>
      </w:r>
    </w:p>
    <w:p w:rsidR="00C5459B" w:rsidRPr="00C5459B" w:rsidRDefault="00C5459B" w:rsidP="00C5459B">
      <w:pPr>
        <w:spacing w:after="0" w:line="240" w:lineRule="auto"/>
        <w:jc w:val="both"/>
        <w:rPr>
          <w:rFonts w:ascii="Arial" w:eastAsia="Calibri" w:hAnsi="Arial" w:cs="Times New Roman"/>
          <w:bCs/>
          <w:color w:val="262626"/>
          <w:sz w:val="20"/>
          <w:szCs w:val="20"/>
          <w:lang w:val="es-ES"/>
        </w:rPr>
      </w:pPr>
      <w:r w:rsidRPr="00C5459B">
        <w:rPr>
          <w:rFonts w:ascii="Arial" w:eastAsia="Calibri" w:hAnsi="Arial" w:cs="Times New Roman"/>
          <w:bCs/>
          <w:color w:val="262626"/>
          <w:sz w:val="20"/>
          <w:szCs w:val="20"/>
          <w:lang w:val="es-ES"/>
        </w:rPr>
        <w:t>Del total de 300 pacientes</w:t>
      </w:r>
      <w:r>
        <w:rPr>
          <w:rFonts w:ascii="Arial" w:eastAsia="Calibri" w:hAnsi="Arial" w:cs="Times New Roman"/>
          <w:bCs/>
          <w:color w:val="262626"/>
          <w:sz w:val="20"/>
          <w:szCs w:val="20"/>
          <w:lang w:val="es-ES"/>
        </w:rPr>
        <w:t xml:space="preserve"> que acudieron al L</w:t>
      </w:r>
      <w:r w:rsidRPr="00C5459B">
        <w:rPr>
          <w:rFonts w:ascii="Arial" w:eastAsia="Calibri" w:hAnsi="Arial" w:cs="Times New Roman"/>
          <w:bCs/>
          <w:color w:val="262626"/>
          <w:sz w:val="20"/>
          <w:szCs w:val="20"/>
          <w:lang w:val="es-ES"/>
        </w:rPr>
        <w:t>aboratorio del Nuevo Hospital Civil de Guadalajara</w:t>
      </w:r>
      <w:r>
        <w:rPr>
          <w:rFonts w:ascii="Arial" w:eastAsia="Calibri" w:hAnsi="Arial" w:cs="Times New Roman"/>
          <w:bCs/>
          <w:color w:val="262626"/>
          <w:sz w:val="20"/>
          <w:szCs w:val="20"/>
          <w:lang w:val="es-ES"/>
        </w:rPr>
        <w:t xml:space="preserve"> </w:t>
      </w:r>
      <w:r w:rsidRPr="00C5459B">
        <w:rPr>
          <w:rFonts w:ascii="Arial" w:eastAsia="Calibri" w:hAnsi="Arial" w:cs="Times New Roman"/>
          <w:bCs/>
          <w:color w:val="262626"/>
          <w:sz w:val="20"/>
          <w:szCs w:val="20"/>
          <w:lang w:val="es-ES"/>
        </w:rPr>
        <w:t xml:space="preserve">se observó que 63 (21%) de los pacientes mostraron valores por arriba de los 4 </w:t>
      </w:r>
      <w:proofErr w:type="spellStart"/>
      <w:r w:rsidRPr="00C5459B">
        <w:rPr>
          <w:rFonts w:ascii="Arial" w:eastAsia="Calibri" w:hAnsi="Arial" w:cs="Times New Roman"/>
          <w:bCs/>
          <w:color w:val="262626"/>
          <w:sz w:val="20"/>
          <w:szCs w:val="20"/>
          <w:lang w:val="es-ES"/>
        </w:rPr>
        <w:t>ng</w:t>
      </w:r>
      <w:proofErr w:type="spellEnd"/>
      <w:r w:rsidRPr="00C5459B">
        <w:rPr>
          <w:rFonts w:ascii="Arial" w:eastAsia="Calibri" w:hAnsi="Arial" w:cs="Times New Roman"/>
          <w:bCs/>
          <w:color w:val="262626"/>
          <w:sz w:val="20"/>
          <w:szCs w:val="20"/>
          <w:lang w:val="es-ES"/>
        </w:rPr>
        <w:t>/</w:t>
      </w:r>
      <w:proofErr w:type="spellStart"/>
      <w:r w:rsidRPr="00C5459B">
        <w:rPr>
          <w:rFonts w:ascii="Arial" w:eastAsia="Calibri" w:hAnsi="Arial" w:cs="Times New Roman"/>
          <w:bCs/>
          <w:color w:val="262626"/>
          <w:sz w:val="20"/>
          <w:szCs w:val="20"/>
          <w:lang w:val="es-ES"/>
        </w:rPr>
        <w:t>dL</w:t>
      </w:r>
      <w:proofErr w:type="spellEnd"/>
      <w:r w:rsidRPr="00C5459B">
        <w:rPr>
          <w:rFonts w:ascii="Arial" w:eastAsia="Calibri" w:hAnsi="Arial" w:cs="Times New Roman"/>
          <w:bCs/>
          <w:color w:val="262626"/>
          <w:sz w:val="20"/>
          <w:szCs w:val="20"/>
          <w:lang w:val="es-ES"/>
        </w:rPr>
        <w:t>.</w:t>
      </w:r>
    </w:p>
    <w:tbl>
      <w:tblPr>
        <w:tblpPr w:leftFromText="141" w:rightFromText="141" w:vertAnchor="text" w:horzAnchor="page" w:tblpX="6229" w:tblpY="127"/>
        <w:tblW w:w="3685" w:type="dxa"/>
        <w:tblBorders>
          <w:top w:val="single" w:sz="8" w:space="0" w:color="4F81BD"/>
          <w:bottom w:val="single" w:sz="8" w:space="0" w:color="4F81BD"/>
        </w:tblBorders>
        <w:tblLook w:val="04A0" w:firstRow="1" w:lastRow="0" w:firstColumn="1" w:lastColumn="0" w:noHBand="0" w:noVBand="1"/>
      </w:tblPr>
      <w:tblGrid>
        <w:gridCol w:w="1478"/>
        <w:gridCol w:w="1050"/>
        <w:gridCol w:w="1157"/>
      </w:tblGrid>
      <w:tr w:rsidR="005655FC" w:rsidRPr="00C5459B" w:rsidTr="005655FC">
        <w:trPr>
          <w:trHeight w:val="452"/>
        </w:trPr>
        <w:tc>
          <w:tcPr>
            <w:tcW w:w="1478" w:type="dxa"/>
            <w:tcBorders>
              <w:top w:val="single" w:sz="8" w:space="0" w:color="4F81BD"/>
              <w:left w:val="nil"/>
              <w:bottom w:val="single" w:sz="8" w:space="0" w:color="4F81BD"/>
              <w:right w:val="nil"/>
            </w:tcBorders>
          </w:tcPr>
          <w:p w:rsidR="005655FC" w:rsidRPr="00C5459B" w:rsidRDefault="005655FC" w:rsidP="005655FC">
            <w:pPr>
              <w:spacing w:after="0" w:line="360" w:lineRule="auto"/>
              <w:ind w:right="51"/>
              <w:jc w:val="center"/>
              <w:rPr>
                <w:rFonts w:ascii="Arial" w:eastAsia="Calibri" w:hAnsi="Arial" w:cs="Arial"/>
                <w:b/>
                <w:bCs/>
                <w:sz w:val="16"/>
                <w:szCs w:val="16"/>
                <w:lang w:val="es-ES"/>
              </w:rPr>
            </w:pPr>
            <w:r w:rsidRPr="00C5459B">
              <w:rPr>
                <w:rFonts w:ascii="Arial" w:eastAsia="Calibri" w:hAnsi="Arial" w:cs="Arial"/>
                <w:b/>
                <w:bCs/>
                <w:sz w:val="16"/>
                <w:szCs w:val="16"/>
                <w:lang w:val="es-ES"/>
              </w:rPr>
              <w:t>Concentración</w:t>
            </w:r>
          </w:p>
        </w:tc>
        <w:tc>
          <w:tcPr>
            <w:tcW w:w="1050" w:type="dxa"/>
            <w:tcBorders>
              <w:top w:val="single" w:sz="8" w:space="0" w:color="4F81BD"/>
              <w:left w:val="nil"/>
              <w:bottom w:val="single" w:sz="8" w:space="0" w:color="4F81BD"/>
              <w:right w:val="nil"/>
            </w:tcBorders>
          </w:tcPr>
          <w:p w:rsidR="005655FC" w:rsidRPr="00C5459B" w:rsidRDefault="005655FC" w:rsidP="005655FC">
            <w:pPr>
              <w:spacing w:after="0" w:line="360" w:lineRule="auto"/>
              <w:ind w:right="51"/>
              <w:jc w:val="center"/>
              <w:rPr>
                <w:rFonts w:ascii="Arial" w:eastAsia="Calibri" w:hAnsi="Arial" w:cs="Arial"/>
                <w:b/>
                <w:bCs/>
                <w:sz w:val="16"/>
                <w:szCs w:val="16"/>
                <w:lang w:val="es-ES"/>
              </w:rPr>
            </w:pPr>
            <w:r w:rsidRPr="00C5459B">
              <w:rPr>
                <w:rFonts w:ascii="Arial" w:eastAsia="Calibri" w:hAnsi="Arial" w:cs="Arial"/>
                <w:b/>
                <w:bCs/>
                <w:sz w:val="16"/>
                <w:szCs w:val="16"/>
                <w:lang w:val="es-ES"/>
              </w:rPr>
              <w:t>Pacientes</w:t>
            </w:r>
          </w:p>
        </w:tc>
        <w:tc>
          <w:tcPr>
            <w:tcW w:w="1157" w:type="dxa"/>
            <w:tcBorders>
              <w:top w:val="single" w:sz="8" w:space="0" w:color="4F81BD"/>
              <w:left w:val="nil"/>
              <w:bottom w:val="single" w:sz="8" w:space="0" w:color="4F81BD"/>
              <w:right w:val="nil"/>
            </w:tcBorders>
          </w:tcPr>
          <w:p w:rsidR="005655FC" w:rsidRPr="00C5459B" w:rsidRDefault="005655FC" w:rsidP="005655FC">
            <w:pPr>
              <w:spacing w:after="0" w:line="360" w:lineRule="auto"/>
              <w:ind w:right="51"/>
              <w:jc w:val="center"/>
              <w:rPr>
                <w:rFonts w:ascii="Arial" w:eastAsia="Calibri" w:hAnsi="Arial" w:cs="Arial"/>
                <w:b/>
                <w:bCs/>
                <w:sz w:val="16"/>
                <w:szCs w:val="16"/>
                <w:lang w:val="es-ES"/>
              </w:rPr>
            </w:pPr>
            <w:r w:rsidRPr="00C5459B">
              <w:rPr>
                <w:rFonts w:ascii="Arial" w:eastAsia="Calibri" w:hAnsi="Arial" w:cs="Arial"/>
                <w:b/>
                <w:bCs/>
                <w:sz w:val="16"/>
                <w:szCs w:val="16"/>
                <w:lang w:val="es-ES"/>
              </w:rPr>
              <w:t>Porcentaje</w:t>
            </w:r>
          </w:p>
        </w:tc>
      </w:tr>
      <w:tr w:rsidR="005655FC" w:rsidRPr="00C5459B" w:rsidTr="005655FC">
        <w:trPr>
          <w:trHeight w:val="348"/>
        </w:trPr>
        <w:tc>
          <w:tcPr>
            <w:tcW w:w="1478" w:type="dxa"/>
            <w:tcBorders>
              <w:left w:val="nil"/>
              <w:right w:val="nil"/>
            </w:tcBorders>
            <w:shd w:val="clear" w:color="auto" w:fill="D3DFEE"/>
          </w:tcPr>
          <w:p w:rsidR="005655FC" w:rsidRPr="00C5459B" w:rsidRDefault="005655FC" w:rsidP="005655FC">
            <w:pPr>
              <w:spacing w:after="0" w:line="360" w:lineRule="auto"/>
              <w:ind w:right="51"/>
              <w:jc w:val="center"/>
              <w:rPr>
                <w:rFonts w:ascii="Arial" w:eastAsia="Calibri" w:hAnsi="Arial" w:cs="Arial"/>
                <w:b/>
                <w:bCs/>
                <w:sz w:val="16"/>
                <w:szCs w:val="16"/>
                <w:lang w:val="es-ES"/>
              </w:rPr>
            </w:pPr>
            <w:r w:rsidRPr="00C5459B">
              <w:rPr>
                <w:rFonts w:ascii="Arial" w:eastAsia="Calibri" w:hAnsi="Arial" w:cs="Arial"/>
                <w:b/>
                <w:bCs/>
                <w:sz w:val="16"/>
                <w:szCs w:val="16"/>
                <w:lang w:val="es-ES"/>
              </w:rPr>
              <w:t xml:space="preserve">Mayor a 4 </w:t>
            </w:r>
            <w:proofErr w:type="spellStart"/>
            <w:r w:rsidRPr="00C5459B">
              <w:rPr>
                <w:rFonts w:ascii="Arial" w:eastAsia="Calibri" w:hAnsi="Arial" w:cs="Arial"/>
                <w:b/>
                <w:bCs/>
                <w:sz w:val="16"/>
                <w:szCs w:val="16"/>
                <w:lang w:val="es-ES"/>
              </w:rPr>
              <w:t>ng</w:t>
            </w:r>
            <w:proofErr w:type="spellEnd"/>
            <w:r w:rsidRPr="00C5459B">
              <w:rPr>
                <w:rFonts w:ascii="Arial" w:eastAsia="Calibri" w:hAnsi="Arial" w:cs="Arial"/>
                <w:b/>
                <w:bCs/>
                <w:sz w:val="16"/>
                <w:szCs w:val="16"/>
                <w:lang w:val="es-ES"/>
              </w:rPr>
              <w:t>/</w:t>
            </w:r>
            <w:proofErr w:type="spellStart"/>
            <w:r w:rsidRPr="00C5459B">
              <w:rPr>
                <w:rFonts w:ascii="Arial" w:eastAsia="Calibri" w:hAnsi="Arial" w:cs="Arial"/>
                <w:b/>
                <w:bCs/>
                <w:sz w:val="16"/>
                <w:szCs w:val="16"/>
                <w:lang w:val="es-ES"/>
              </w:rPr>
              <w:t>dL</w:t>
            </w:r>
            <w:proofErr w:type="spellEnd"/>
          </w:p>
        </w:tc>
        <w:tc>
          <w:tcPr>
            <w:tcW w:w="1050" w:type="dxa"/>
            <w:tcBorders>
              <w:left w:val="nil"/>
              <w:right w:val="nil"/>
            </w:tcBorders>
            <w:shd w:val="clear" w:color="auto" w:fill="D3DFEE"/>
          </w:tcPr>
          <w:p w:rsidR="005655FC" w:rsidRPr="00C5459B" w:rsidRDefault="005655FC" w:rsidP="005655FC">
            <w:pPr>
              <w:spacing w:after="0" w:line="360" w:lineRule="auto"/>
              <w:ind w:right="51"/>
              <w:jc w:val="center"/>
              <w:rPr>
                <w:rFonts w:ascii="Arial" w:eastAsia="Calibri" w:hAnsi="Arial" w:cs="Arial"/>
                <w:b/>
                <w:sz w:val="16"/>
                <w:szCs w:val="16"/>
                <w:lang w:val="es-ES"/>
              </w:rPr>
            </w:pPr>
            <w:r w:rsidRPr="00C5459B">
              <w:rPr>
                <w:rFonts w:ascii="Arial" w:eastAsia="Calibri" w:hAnsi="Arial" w:cs="Arial"/>
                <w:b/>
                <w:sz w:val="16"/>
                <w:szCs w:val="16"/>
                <w:lang w:val="es-ES"/>
              </w:rPr>
              <w:t>63</w:t>
            </w:r>
          </w:p>
        </w:tc>
        <w:tc>
          <w:tcPr>
            <w:tcW w:w="1157" w:type="dxa"/>
            <w:tcBorders>
              <w:left w:val="nil"/>
              <w:right w:val="nil"/>
            </w:tcBorders>
            <w:shd w:val="clear" w:color="auto" w:fill="D3DFEE"/>
          </w:tcPr>
          <w:p w:rsidR="005655FC" w:rsidRPr="00C5459B" w:rsidRDefault="005655FC" w:rsidP="005655FC">
            <w:pPr>
              <w:spacing w:after="0" w:line="360" w:lineRule="auto"/>
              <w:ind w:right="51"/>
              <w:jc w:val="center"/>
              <w:rPr>
                <w:rFonts w:ascii="Arial" w:eastAsia="Calibri" w:hAnsi="Arial" w:cs="Arial"/>
                <w:b/>
                <w:sz w:val="16"/>
                <w:szCs w:val="16"/>
                <w:lang w:val="es-ES"/>
              </w:rPr>
            </w:pPr>
            <w:r w:rsidRPr="00C5459B">
              <w:rPr>
                <w:rFonts w:ascii="Arial" w:eastAsia="Calibri" w:hAnsi="Arial" w:cs="Arial"/>
                <w:b/>
                <w:sz w:val="16"/>
                <w:szCs w:val="16"/>
                <w:lang w:val="es-ES"/>
              </w:rPr>
              <w:t>21</w:t>
            </w:r>
          </w:p>
        </w:tc>
      </w:tr>
      <w:tr w:rsidR="005655FC" w:rsidRPr="00C5459B" w:rsidTr="005655FC">
        <w:trPr>
          <w:trHeight w:val="348"/>
        </w:trPr>
        <w:tc>
          <w:tcPr>
            <w:tcW w:w="1478" w:type="dxa"/>
          </w:tcPr>
          <w:p w:rsidR="005655FC" w:rsidRPr="00C5459B" w:rsidRDefault="005655FC" w:rsidP="005655FC">
            <w:pPr>
              <w:spacing w:after="0" w:line="360" w:lineRule="auto"/>
              <w:ind w:right="51"/>
              <w:jc w:val="center"/>
              <w:rPr>
                <w:rFonts w:ascii="Arial" w:eastAsia="Calibri" w:hAnsi="Arial" w:cs="Arial"/>
                <w:b/>
                <w:bCs/>
                <w:sz w:val="16"/>
                <w:szCs w:val="16"/>
                <w:lang w:val="es-ES"/>
              </w:rPr>
            </w:pPr>
            <w:r w:rsidRPr="00C5459B">
              <w:rPr>
                <w:rFonts w:ascii="Arial" w:eastAsia="Calibri" w:hAnsi="Arial" w:cs="Arial"/>
                <w:b/>
                <w:bCs/>
                <w:sz w:val="16"/>
                <w:szCs w:val="16"/>
                <w:lang w:val="es-ES"/>
              </w:rPr>
              <w:t xml:space="preserve">Menor a 4 </w:t>
            </w:r>
            <w:proofErr w:type="spellStart"/>
            <w:r w:rsidRPr="00C5459B">
              <w:rPr>
                <w:rFonts w:ascii="Arial" w:eastAsia="Calibri" w:hAnsi="Arial" w:cs="Arial"/>
                <w:b/>
                <w:bCs/>
                <w:sz w:val="16"/>
                <w:szCs w:val="16"/>
                <w:lang w:val="es-ES"/>
              </w:rPr>
              <w:t>ng</w:t>
            </w:r>
            <w:proofErr w:type="spellEnd"/>
            <w:r w:rsidRPr="00C5459B">
              <w:rPr>
                <w:rFonts w:ascii="Arial" w:eastAsia="Calibri" w:hAnsi="Arial" w:cs="Arial"/>
                <w:b/>
                <w:bCs/>
                <w:sz w:val="16"/>
                <w:szCs w:val="16"/>
                <w:lang w:val="es-ES"/>
              </w:rPr>
              <w:t>/</w:t>
            </w:r>
            <w:proofErr w:type="spellStart"/>
            <w:r w:rsidRPr="00C5459B">
              <w:rPr>
                <w:rFonts w:ascii="Arial" w:eastAsia="Calibri" w:hAnsi="Arial" w:cs="Arial"/>
                <w:b/>
                <w:bCs/>
                <w:sz w:val="16"/>
                <w:szCs w:val="16"/>
                <w:lang w:val="es-ES"/>
              </w:rPr>
              <w:t>dL</w:t>
            </w:r>
            <w:proofErr w:type="spellEnd"/>
          </w:p>
        </w:tc>
        <w:tc>
          <w:tcPr>
            <w:tcW w:w="1050" w:type="dxa"/>
          </w:tcPr>
          <w:p w:rsidR="005655FC" w:rsidRPr="00C5459B" w:rsidRDefault="005655FC" w:rsidP="005655FC">
            <w:pPr>
              <w:spacing w:after="0" w:line="360" w:lineRule="auto"/>
              <w:ind w:right="51"/>
              <w:jc w:val="center"/>
              <w:rPr>
                <w:rFonts w:ascii="Arial" w:eastAsia="Calibri" w:hAnsi="Arial" w:cs="Arial"/>
                <w:b/>
                <w:sz w:val="16"/>
                <w:szCs w:val="16"/>
                <w:lang w:val="es-ES"/>
              </w:rPr>
            </w:pPr>
            <w:r w:rsidRPr="00C5459B">
              <w:rPr>
                <w:rFonts w:ascii="Arial" w:eastAsia="Calibri" w:hAnsi="Arial" w:cs="Arial"/>
                <w:b/>
                <w:sz w:val="16"/>
                <w:szCs w:val="16"/>
                <w:lang w:val="es-ES"/>
              </w:rPr>
              <w:t>237</w:t>
            </w:r>
          </w:p>
        </w:tc>
        <w:tc>
          <w:tcPr>
            <w:tcW w:w="1157" w:type="dxa"/>
          </w:tcPr>
          <w:p w:rsidR="005655FC" w:rsidRPr="00C5459B" w:rsidRDefault="005655FC" w:rsidP="005655FC">
            <w:pPr>
              <w:spacing w:after="0" w:line="360" w:lineRule="auto"/>
              <w:ind w:right="51"/>
              <w:jc w:val="center"/>
              <w:rPr>
                <w:rFonts w:ascii="Arial" w:eastAsia="Calibri" w:hAnsi="Arial" w:cs="Arial"/>
                <w:b/>
                <w:sz w:val="16"/>
                <w:szCs w:val="16"/>
                <w:lang w:val="es-ES"/>
              </w:rPr>
            </w:pPr>
            <w:r w:rsidRPr="00C5459B">
              <w:rPr>
                <w:rFonts w:ascii="Arial" w:eastAsia="Calibri" w:hAnsi="Arial" w:cs="Arial"/>
                <w:b/>
                <w:sz w:val="16"/>
                <w:szCs w:val="16"/>
                <w:lang w:val="es-ES"/>
              </w:rPr>
              <w:t>79</w:t>
            </w:r>
          </w:p>
        </w:tc>
      </w:tr>
      <w:tr w:rsidR="005655FC" w:rsidRPr="00C5459B" w:rsidTr="005655FC">
        <w:trPr>
          <w:trHeight w:val="348"/>
        </w:trPr>
        <w:tc>
          <w:tcPr>
            <w:tcW w:w="1478" w:type="dxa"/>
            <w:tcBorders>
              <w:bottom w:val="single" w:sz="4" w:space="0" w:color="auto"/>
            </w:tcBorders>
          </w:tcPr>
          <w:p w:rsidR="005655FC" w:rsidRPr="00C5459B" w:rsidRDefault="005655FC" w:rsidP="005655FC">
            <w:pPr>
              <w:spacing w:after="0" w:line="360" w:lineRule="auto"/>
              <w:ind w:right="51"/>
              <w:jc w:val="center"/>
              <w:rPr>
                <w:rFonts w:ascii="Arial" w:eastAsia="Calibri" w:hAnsi="Arial" w:cs="Arial"/>
                <w:b/>
                <w:bCs/>
                <w:sz w:val="16"/>
                <w:szCs w:val="16"/>
                <w:lang w:val="es-ES"/>
              </w:rPr>
            </w:pPr>
            <w:r w:rsidRPr="00C5459B">
              <w:rPr>
                <w:rFonts w:ascii="Arial" w:eastAsia="Calibri" w:hAnsi="Arial" w:cs="Arial"/>
                <w:b/>
                <w:bCs/>
                <w:sz w:val="16"/>
                <w:szCs w:val="16"/>
                <w:lang w:val="es-ES"/>
              </w:rPr>
              <w:t>Total</w:t>
            </w:r>
          </w:p>
        </w:tc>
        <w:tc>
          <w:tcPr>
            <w:tcW w:w="1050" w:type="dxa"/>
            <w:tcBorders>
              <w:bottom w:val="single" w:sz="4" w:space="0" w:color="auto"/>
            </w:tcBorders>
          </w:tcPr>
          <w:p w:rsidR="005655FC" w:rsidRPr="00C5459B" w:rsidRDefault="005655FC" w:rsidP="005655FC">
            <w:pPr>
              <w:spacing w:after="0" w:line="360" w:lineRule="auto"/>
              <w:ind w:right="51"/>
              <w:jc w:val="center"/>
              <w:rPr>
                <w:rFonts w:ascii="Arial" w:eastAsia="Calibri" w:hAnsi="Arial" w:cs="Arial"/>
                <w:b/>
                <w:sz w:val="16"/>
                <w:szCs w:val="16"/>
                <w:lang w:val="es-ES"/>
              </w:rPr>
            </w:pPr>
            <w:r w:rsidRPr="00C5459B">
              <w:rPr>
                <w:rFonts w:ascii="Arial" w:eastAsia="Calibri" w:hAnsi="Arial" w:cs="Arial"/>
                <w:b/>
                <w:sz w:val="16"/>
                <w:szCs w:val="16"/>
                <w:lang w:val="es-ES"/>
              </w:rPr>
              <w:t>300</w:t>
            </w:r>
          </w:p>
        </w:tc>
        <w:tc>
          <w:tcPr>
            <w:tcW w:w="1157" w:type="dxa"/>
            <w:tcBorders>
              <w:bottom w:val="single" w:sz="4" w:space="0" w:color="auto"/>
            </w:tcBorders>
          </w:tcPr>
          <w:p w:rsidR="005655FC" w:rsidRPr="00C5459B" w:rsidRDefault="005655FC" w:rsidP="005655FC">
            <w:pPr>
              <w:spacing w:after="0" w:line="360" w:lineRule="auto"/>
              <w:ind w:right="51"/>
              <w:jc w:val="center"/>
              <w:rPr>
                <w:rFonts w:ascii="Arial" w:eastAsia="Calibri" w:hAnsi="Arial" w:cs="Arial"/>
                <w:b/>
                <w:sz w:val="16"/>
                <w:szCs w:val="16"/>
                <w:lang w:val="es-ES"/>
              </w:rPr>
            </w:pPr>
            <w:r w:rsidRPr="00C5459B">
              <w:rPr>
                <w:rFonts w:ascii="Arial" w:eastAsia="Calibri" w:hAnsi="Arial" w:cs="Arial"/>
                <w:b/>
                <w:sz w:val="16"/>
                <w:szCs w:val="16"/>
                <w:lang w:val="es-ES"/>
              </w:rPr>
              <w:t>100</w:t>
            </w:r>
          </w:p>
        </w:tc>
      </w:tr>
    </w:tbl>
    <w:p w:rsidR="00CD0C68" w:rsidRPr="00C5459B" w:rsidRDefault="00CD0C68" w:rsidP="00CD0C68">
      <w:pPr>
        <w:spacing w:after="0" w:line="240" w:lineRule="auto"/>
        <w:jc w:val="both"/>
        <w:rPr>
          <w:rFonts w:ascii="Arial" w:eastAsia="Calibri" w:hAnsi="Arial" w:cs="Arial"/>
          <w:sz w:val="20"/>
          <w:szCs w:val="20"/>
          <w:lang w:val="es-ES" w:eastAsia="es-MX"/>
        </w:rPr>
      </w:pPr>
    </w:p>
    <w:p w:rsidR="00C5459B" w:rsidRPr="00CD0C68" w:rsidRDefault="00CD0C68" w:rsidP="00C5459B">
      <w:pPr>
        <w:autoSpaceDE w:val="0"/>
        <w:autoSpaceDN w:val="0"/>
        <w:adjustRightInd w:val="0"/>
        <w:spacing w:after="0" w:line="240" w:lineRule="auto"/>
        <w:rPr>
          <w:rFonts w:ascii="Arial" w:eastAsia="Calibri" w:hAnsi="Arial" w:cs="Arial"/>
          <w:sz w:val="20"/>
          <w:szCs w:val="20"/>
        </w:rPr>
      </w:pPr>
      <w:r w:rsidRPr="00CD0C68">
        <w:rPr>
          <w:rFonts w:ascii="Arial" w:eastAsia="Calibri" w:hAnsi="Arial" w:cs="Arial"/>
          <w:sz w:val="20"/>
          <w:szCs w:val="20"/>
        </w:rPr>
        <w:t xml:space="preserve">    </w:t>
      </w:r>
      <w:r w:rsidR="005655FC">
        <w:rPr>
          <w:rFonts w:ascii="Arial" w:eastAsia="Calibri" w:hAnsi="Arial" w:cs="Arial"/>
          <w:noProof/>
          <w:sz w:val="20"/>
          <w:szCs w:val="20"/>
          <w:lang w:eastAsia="es-MX"/>
        </w:rPr>
        <w:drawing>
          <wp:inline distT="0" distB="0" distL="0" distR="0" wp14:anchorId="1E8F6835" wp14:editId="7E9D757E">
            <wp:extent cx="2544418" cy="1305486"/>
            <wp:effectExtent l="0" t="0" r="889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110" cy="1305841"/>
                    </a:xfrm>
                    <a:prstGeom prst="rect">
                      <a:avLst/>
                    </a:prstGeom>
                    <a:noFill/>
                  </pic:spPr>
                </pic:pic>
              </a:graphicData>
            </a:graphic>
          </wp:inline>
        </w:drawing>
      </w:r>
      <w:r w:rsidRPr="00CD0C68">
        <w:rPr>
          <w:rFonts w:ascii="Arial" w:eastAsia="Calibri" w:hAnsi="Arial" w:cs="Arial"/>
          <w:sz w:val="20"/>
          <w:szCs w:val="20"/>
        </w:rPr>
        <w:t xml:space="preserve">                               </w:t>
      </w:r>
    </w:p>
    <w:p w:rsidR="00CD0C68" w:rsidRPr="00CD0C68" w:rsidRDefault="00CD0C68" w:rsidP="005655FC">
      <w:pPr>
        <w:autoSpaceDE w:val="0"/>
        <w:autoSpaceDN w:val="0"/>
        <w:adjustRightInd w:val="0"/>
        <w:spacing w:after="0" w:line="240" w:lineRule="auto"/>
        <w:rPr>
          <w:rFonts w:ascii="Arial" w:eastAsia="Calibri" w:hAnsi="Arial" w:cs="Arial"/>
          <w:sz w:val="20"/>
          <w:szCs w:val="20"/>
        </w:rPr>
      </w:pPr>
      <w:r w:rsidRPr="00CD0C68">
        <w:rPr>
          <w:rFonts w:ascii="Arial" w:eastAsia="Calibri" w:hAnsi="Arial" w:cs="Arial"/>
          <w:sz w:val="20"/>
          <w:szCs w:val="20"/>
        </w:rPr>
        <w:t xml:space="preserve">                                                    </w:t>
      </w:r>
    </w:p>
    <w:p w:rsidR="005655FC" w:rsidRDefault="00CD0C68" w:rsidP="005655FC">
      <w:pPr>
        <w:pStyle w:val="DaHrO"/>
        <w:spacing w:line="240" w:lineRule="auto"/>
        <w:rPr>
          <w:b/>
          <w:color w:val="130448"/>
          <w:sz w:val="20"/>
          <w:szCs w:val="20"/>
        </w:rPr>
      </w:pPr>
      <w:r w:rsidRPr="00CD0C68">
        <w:rPr>
          <w:rFonts w:cs="Arial"/>
          <w:b/>
          <w:sz w:val="20"/>
          <w:szCs w:val="20"/>
          <w:lang w:eastAsia="es-MX"/>
        </w:rPr>
        <w:t>GRÁFICO No 2</w:t>
      </w:r>
      <w:r w:rsidRPr="00CD0C68">
        <w:rPr>
          <w:rFonts w:cs="Arial"/>
          <w:sz w:val="20"/>
          <w:szCs w:val="20"/>
          <w:lang w:eastAsia="es-MX"/>
        </w:rPr>
        <w:t xml:space="preserve">. </w:t>
      </w:r>
      <w:r w:rsidR="00C5459B">
        <w:rPr>
          <w:b/>
          <w:color w:val="130448"/>
          <w:sz w:val="20"/>
          <w:szCs w:val="20"/>
        </w:rPr>
        <w:t>Pacientes con concentracio</w:t>
      </w:r>
      <w:r w:rsidR="00C5459B" w:rsidRPr="00C5459B">
        <w:rPr>
          <w:b/>
          <w:color w:val="130448"/>
          <w:sz w:val="20"/>
          <w:szCs w:val="20"/>
        </w:rPr>
        <w:t>n</w:t>
      </w:r>
      <w:r w:rsidR="00C5459B">
        <w:rPr>
          <w:b/>
          <w:color w:val="130448"/>
          <w:sz w:val="20"/>
          <w:szCs w:val="20"/>
        </w:rPr>
        <w:t>es</w:t>
      </w:r>
      <w:r w:rsidR="00C5459B" w:rsidRPr="00C5459B">
        <w:rPr>
          <w:b/>
          <w:color w:val="130448"/>
          <w:sz w:val="20"/>
          <w:szCs w:val="20"/>
        </w:rPr>
        <w:t xml:space="preserve"> de PSA por arriba de 10 </w:t>
      </w:r>
      <w:proofErr w:type="spellStart"/>
      <w:r w:rsidR="00C5459B" w:rsidRPr="00C5459B">
        <w:rPr>
          <w:b/>
          <w:color w:val="130448"/>
          <w:sz w:val="20"/>
          <w:szCs w:val="20"/>
        </w:rPr>
        <w:t>ng</w:t>
      </w:r>
      <w:proofErr w:type="spellEnd"/>
      <w:r w:rsidR="00C5459B" w:rsidRPr="00C5459B">
        <w:rPr>
          <w:b/>
          <w:color w:val="130448"/>
          <w:sz w:val="20"/>
          <w:szCs w:val="20"/>
        </w:rPr>
        <w:t>/</w:t>
      </w:r>
      <w:proofErr w:type="spellStart"/>
      <w:r w:rsidR="00C5459B" w:rsidRPr="00C5459B">
        <w:rPr>
          <w:b/>
          <w:color w:val="130448"/>
          <w:sz w:val="20"/>
          <w:szCs w:val="20"/>
        </w:rPr>
        <w:t>dL</w:t>
      </w:r>
      <w:r w:rsidR="00C5459B">
        <w:rPr>
          <w:b/>
          <w:color w:val="130448"/>
          <w:sz w:val="20"/>
          <w:szCs w:val="20"/>
        </w:rPr>
        <w:t>.</w:t>
      </w:r>
      <w:proofErr w:type="spellEnd"/>
    </w:p>
    <w:p w:rsidR="00C5459B" w:rsidRPr="00C5459B" w:rsidRDefault="00C5459B" w:rsidP="005655FC">
      <w:pPr>
        <w:pStyle w:val="DaHrO"/>
        <w:spacing w:line="240" w:lineRule="auto"/>
        <w:rPr>
          <w:b/>
          <w:color w:val="130448"/>
          <w:sz w:val="20"/>
          <w:szCs w:val="20"/>
        </w:rPr>
      </w:pPr>
      <w:r w:rsidRPr="00C5459B">
        <w:rPr>
          <w:sz w:val="20"/>
          <w:szCs w:val="20"/>
        </w:rPr>
        <w:t xml:space="preserve">De los 63 pacientes (21%) con PSA por arriba de 4 </w:t>
      </w:r>
      <w:proofErr w:type="spellStart"/>
      <w:r w:rsidRPr="00C5459B">
        <w:rPr>
          <w:sz w:val="20"/>
          <w:szCs w:val="20"/>
        </w:rPr>
        <w:t>ng</w:t>
      </w:r>
      <w:proofErr w:type="spellEnd"/>
      <w:r w:rsidRPr="00C5459B">
        <w:rPr>
          <w:sz w:val="20"/>
          <w:szCs w:val="20"/>
        </w:rPr>
        <w:t>/</w:t>
      </w:r>
      <w:proofErr w:type="spellStart"/>
      <w:r w:rsidRPr="00C5459B">
        <w:rPr>
          <w:sz w:val="20"/>
          <w:szCs w:val="20"/>
        </w:rPr>
        <w:t>dL</w:t>
      </w:r>
      <w:proofErr w:type="spellEnd"/>
      <w:r w:rsidRPr="00C5459B">
        <w:rPr>
          <w:sz w:val="20"/>
          <w:szCs w:val="20"/>
        </w:rPr>
        <w:t xml:space="preserve">, se obtuvo un porcentaje de 62% (39) de pacientes con valor entre 4 y 10 </w:t>
      </w:r>
      <w:proofErr w:type="spellStart"/>
      <w:r w:rsidRPr="00C5459B">
        <w:rPr>
          <w:sz w:val="20"/>
          <w:szCs w:val="20"/>
        </w:rPr>
        <w:t>ng</w:t>
      </w:r>
      <w:proofErr w:type="spellEnd"/>
      <w:r w:rsidRPr="00C5459B">
        <w:rPr>
          <w:sz w:val="20"/>
          <w:szCs w:val="20"/>
        </w:rPr>
        <w:t>/</w:t>
      </w:r>
      <w:proofErr w:type="spellStart"/>
      <w:r w:rsidRPr="00C5459B">
        <w:rPr>
          <w:sz w:val="20"/>
          <w:szCs w:val="20"/>
        </w:rPr>
        <w:t>dL</w:t>
      </w:r>
      <w:proofErr w:type="spellEnd"/>
      <w:r w:rsidRPr="00C5459B">
        <w:rPr>
          <w:sz w:val="20"/>
          <w:szCs w:val="20"/>
        </w:rPr>
        <w:t xml:space="preserve">, y el 38% (24) por arriba de 10 </w:t>
      </w:r>
      <w:proofErr w:type="spellStart"/>
      <w:r w:rsidRPr="00C5459B">
        <w:rPr>
          <w:sz w:val="20"/>
          <w:szCs w:val="20"/>
        </w:rPr>
        <w:t>ng</w:t>
      </w:r>
      <w:proofErr w:type="spellEnd"/>
      <w:r w:rsidRPr="00C5459B">
        <w:rPr>
          <w:sz w:val="20"/>
          <w:szCs w:val="20"/>
        </w:rPr>
        <w:t>/</w:t>
      </w:r>
      <w:proofErr w:type="spellStart"/>
      <w:r w:rsidRPr="00C5459B">
        <w:rPr>
          <w:sz w:val="20"/>
          <w:szCs w:val="20"/>
        </w:rPr>
        <w:t>dL</w:t>
      </w:r>
      <w:proofErr w:type="spellEnd"/>
      <w:r w:rsidRPr="00C5459B">
        <w:rPr>
          <w:sz w:val="20"/>
          <w:szCs w:val="20"/>
        </w:rPr>
        <w:t>.</w:t>
      </w:r>
    </w:p>
    <w:tbl>
      <w:tblPr>
        <w:tblpPr w:leftFromText="141" w:rightFromText="141" w:vertAnchor="text" w:horzAnchor="margin" w:tblpXSpec="right" w:tblpY="68"/>
        <w:tblW w:w="0" w:type="auto"/>
        <w:tblBorders>
          <w:top w:val="single" w:sz="8" w:space="0" w:color="4F81BD"/>
          <w:bottom w:val="single" w:sz="8" w:space="0" w:color="4F81BD"/>
        </w:tblBorders>
        <w:tblLook w:val="04A0" w:firstRow="1" w:lastRow="0" w:firstColumn="1" w:lastColumn="0" w:noHBand="0" w:noVBand="1"/>
      </w:tblPr>
      <w:tblGrid>
        <w:gridCol w:w="1755"/>
        <w:gridCol w:w="1878"/>
        <w:gridCol w:w="1384"/>
      </w:tblGrid>
      <w:tr w:rsidR="00231EE7" w:rsidRPr="00231EE7" w:rsidTr="00231EE7">
        <w:trPr>
          <w:trHeight w:val="354"/>
        </w:trPr>
        <w:tc>
          <w:tcPr>
            <w:tcW w:w="1755" w:type="dxa"/>
            <w:tcBorders>
              <w:top w:val="single" w:sz="8" w:space="0" w:color="4F81BD"/>
              <w:left w:val="nil"/>
              <w:bottom w:val="single" w:sz="8" w:space="0" w:color="4F81BD"/>
              <w:right w:val="nil"/>
            </w:tcBorders>
          </w:tcPr>
          <w:p w:rsidR="00231EE7" w:rsidRPr="00231EE7" w:rsidRDefault="00231EE7" w:rsidP="00231EE7">
            <w:pPr>
              <w:spacing w:after="0" w:line="240" w:lineRule="auto"/>
              <w:ind w:right="51"/>
              <w:jc w:val="both"/>
              <w:rPr>
                <w:rFonts w:ascii="Calibri" w:eastAsia="Calibri" w:hAnsi="Calibri" w:cs="Arial"/>
                <w:b/>
                <w:bCs/>
                <w:sz w:val="20"/>
                <w:szCs w:val="20"/>
                <w:lang w:val="es-ES"/>
              </w:rPr>
            </w:pPr>
            <w:r w:rsidRPr="00231EE7">
              <w:rPr>
                <w:rFonts w:ascii="Calibri" w:eastAsia="Calibri" w:hAnsi="Calibri" w:cs="Arial"/>
                <w:b/>
                <w:bCs/>
                <w:sz w:val="20"/>
                <w:szCs w:val="20"/>
                <w:lang w:val="es-ES"/>
              </w:rPr>
              <w:t>Concentración</w:t>
            </w:r>
          </w:p>
        </w:tc>
        <w:tc>
          <w:tcPr>
            <w:tcW w:w="1878" w:type="dxa"/>
            <w:tcBorders>
              <w:top w:val="single" w:sz="8" w:space="0" w:color="4F81BD"/>
              <w:left w:val="nil"/>
              <w:bottom w:val="single" w:sz="8" w:space="0" w:color="4F81BD"/>
              <w:right w:val="nil"/>
            </w:tcBorders>
          </w:tcPr>
          <w:p w:rsidR="00231EE7" w:rsidRPr="00231EE7" w:rsidRDefault="00231EE7" w:rsidP="00231EE7">
            <w:pPr>
              <w:spacing w:after="0" w:line="240" w:lineRule="auto"/>
              <w:ind w:right="51"/>
              <w:jc w:val="both"/>
              <w:rPr>
                <w:rFonts w:ascii="Calibri" w:eastAsia="Calibri" w:hAnsi="Calibri" w:cs="Arial"/>
                <w:b/>
                <w:bCs/>
                <w:sz w:val="20"/>
                <w:szCs w:val="20"/>
                <w:lang w:val="es-ES"/>
              </w:rPr>
            </w:pPr>
            <w:r w:rsidRPr="00231EE7">
              <w:rPr>
                <w:rFonts w:ascii="Calibri" w:eastAsia="Calibri" w:hAnsi="Calibri" w:cs="Arial"/>
                <w:b/>
                <w:bCs/>
                <w:sz w:val="20"/>
                <w:szCs w:val="20"/>
                <w:lang w:val="es-ES"/>
              </w:rPr>
              <w:t>Pacientes</w:t>
            </w:r>
          </w:p>
        </w:tc>
        <w:tc>
          <w:tcPr>
            <w:tcW w:w="1384" w:type="dxa"/>
            <w:tcBorders>
              <w:top w:val="single" w:sz="8" w:space="0" w:color="4F81BD"/>
              <w:left w:val="nil"/>
              <w:bottom w:val="single" w:sz="8" w:space="0" w:color="4F81BD"/>
              <w:right w:val="nil"/>
            </w:tcBorders>
          </w:tcPr>
          <w:p w:rsidR="00231EE7" w:rsidRPr="00231EE7" w:rsidRDefault="00231EE7" w:rsidP="00231EE7">
            <w:pPr>
              <w:spacing w:after="0" w:line="240" w:lineRule="auto"/>
              <w:ind w:right="51"/>
              <w:jc w:val="both"/>
              <w:rPr>
                <w:rFonts w:ascii="Calibri" w:eastAsia="Calibri" w:hAnsi="Calibri" w:cs="Arial"/>
                <w:b/>
                <w:bCs/>
                <w:sz w:val="20"/>
                <w:szCs w:val="20"/>
                <w:lang w:val="es-ES"/>
              </w:rPr>
            </w:pPr>
            <w:r w:rsidRPr="00231EE7">
              <w:rPr>
                <w:rFonts w:ascii="Calibri" w:eastAsia="Calibri" w:hAnsi="Calibri" w:cs="Arial"/>
                <w:b/>
                <w:bCs/>
                <w:sz w:val="20"/>
                <w:szCs w:val="20"/>
                <w:lang w:val="es-ES"/>
              </w:rPr>
              <w:t>Porcentaje (%)</w:t>
            </w:r>
          </w:p>
        </w:tc>
      </w:tr>
      <w:tr w:rsidR="00231EE7" w:rsidRPr="00231EE7" w:rsidTr="00231EE7">
        <w:trPr>
          <w:trHeight w:val="273"/>
        </w:trPr>
        <w:tc>
          <w:tcPr>
            <w:tcW w:w="1755" w:type="dxa"/>
            <w:tcBorders>
              <w:left w:val="nil"/>
              <w:right w:val="nil"/>
            </w:tcBorders>
            <w:shd w:val="clear" w:color="auto" w:fill="D3DFEE"/>
          </w:tcPr>
          <w:p w:rsidR="00231EE7" w:rsidRPr="00231EE7" w:rsidRDefault="00231EE7" w:rsidP="00231EE7">
            <w:pPr>
              <w:spacing w:after="0" w:line="240" w:lineRule="auto"/>
              <w:ind w:right="51"/>
              <w:jc w:val="both"/>
              <w:rPr>
                <w:rFonts w:ascii="Calibri" w:eastAsia="Calibri" w:hAnsi="Calibri" w:cs="Arial"/>
                <w:b/>
                <w:bCs/>
                <w:sz w:val="20"/>
                <w:szCs w:val="20"/>
                <w:lang w:val="es-ES"/>
              </w:rPr>
            </w:pPr>
            <w:r w:rsidRPr="00231EE7">
              <w:rPr>
                <w:rFonts w:ascii="Calibri" w:eastAsia="Calibri" w:hAnsi="Calibri" w:cs="Arial"/>
                <w:b/>
                <w:bCs/>
                <w:sz w:val="20"/>
                <w:szCs w:val="20"/>
                <w:lang w:val="es-ES"/>
              </w:rPr>
              <w:t xml:space="preserve">4.0 a 10.0  </w:t>
            </w:r>
            <w:proofErr w:type="spellStart"/>
            <w:r w:rsidRPr="00231EE7">
              <w:rPr>
                <w:rFonts w:ascii="Calibri" w:eastAsia="Calibri" w:hAnsi="Calibri" w:cs="Arial"/>
                <w:b/>
                <w:bCs/>
                <w:sz w:val="20"/>
                <w:szCs w:val="20"/>
                <w:lang w:val="es-ES"/>
              </w:rPr>
              <w:t>ng</w:t>
            </w:r>
            <w:proofErr w:type="spellEnd"/>
            <w:r w:rsidRPr="00231EE7">
              <w:rPr>
                <w:rFonts w:ascii="Calibri" w:eastAsia="Calibri" w:hAnsi="Calibri" w:cs="Arial"/>
                <w:b/>
                <w:bCs/>
                <w:sz w:val="20"/>
                <w:szCs w:val="20"/>
                <w:lang w:val="es-ES"/>
              </w:rPr>
              <w:t>/</w:t>
            </w:r>
            <w:proofErr w:type="spellStart"/>
            <w:r w:rsidRPr="00231EE7">
              <w:rPr>
                <w:rFonts w:ascii="Calibri" w:eastAsia="Calibri" w:hAnsi="Calibri" w:cs="Arial"/>
                <w:b/>
                <w:bCs/>
                <w:sz w:val="20"/>
                <w:szCs w:val="20"/>
                <w:lang w:val="es-ES"/>
              </w:rPr>
              <w:t>dL</w:t>
            </w:r>
            <w:proofErr w:type="spellEnd"/>
          </w:p>
        </w:tc>
        <w:tc>
          <w:tcPr>
            <w:tcW w:w="1878" w:type="dxa"/>
            <w:tcBorders>
              <w:left w:val="nil"/>
              <w:right w:val="nil"/>
            </w:tcBorders>
            <w:shd w:val="clear" w:color="auto" w:fill="D3DFEE"/>
          </w:tcPr>
          <w:p w:rsidR="00231EE7" w:rsidRPr="00231EE7" w:rsidRDefault="00231EE7" w:rsidP="00231EE7">
            <w:pPr>
              <w:spacing w:after="0" w:line="240" w:lineRule="auto"/>
              <w:ind w:right="51"/>
              <w:jc w:val="both"/>
              <w:rPr>
                <w:rFonts w:ascii="Calibri" w:eastAsia="Calibri" w:hAnsi="Calibri" w:cs="Arial"/>
                <w:sz w:val="20"/>
                <w:szCs w:val="20"/>
                <w:lang w:val="es-ES"/>
              </w:rPr>
            </w:pPr>
            <w:r w:rsidRPr="00231EE7">
              <w:rPr>
                <w:rFonts w:ascii="Calibri" w:eastAsia="Calibri" w:hAnsi="Calibri" w:cs="Arial"/>
                <w:sz w:val="20"/>
                <w:szCs w:val="20"/>
                <w:lang w:val="es-ES"/>
              </w:rPr>
              <w:t>39</w:t>
            </w:r>
          </w:p>
        </w:tc>
        <w:tc>
          <w:tcPr>
            <w:tcW w:w="1384" w:type="dxa"/>
            <w:tcBorders>
              <w:left w:val="nil"/>
              <w:right w:val="nil"/>
            </w:tcBorders>
            <w:shd w:val="clear" w:color="auto" w:fill="D3DFEE"/>
          </w:tcPr>
          <w:p w:rsidR="00231EE7" w:rsidRPr="00231EE7" w:rsidRDefault="00231EE7" w:rsidP="00231EE7">
            <w:pPr>
              <w:spacing w:after="0" w:line="240" w:lineRule="auto"/>
              <w:ind w:right="51"/>
              <w:jc w:val="both"/>
              <w:rPr>
                <w:rFonts w:ascii="Calibri" w:eastAsia="Calibri" w:hAnsi="Calibri" w:cs="Arial"/>
                <w:sz w:val="20"/>
                <w:szCs w:val="20"/>
                <w:lang w:val="es-ES"/>
              </w:rPr>
            </w:pPr>
            <w:r w:rsidRPr="00231EE7">
              <w:rPr>
                <w:rFonts w:ascii="Calibri" w:eastAsia="Calibri" w:hAnsi="Calibri" w:cs="Arial"/>
                <w:sz w:val="20"/>
                <w:szCs w:val="20"/>
                <w:lang w:val="es-ES"/>
              </w:rPr>
              <w:t>62</w:t>
            </w:r>
          </w:p>
        </w:tc>
      </w:tr>
      <w:tr w:rsidR="00231EE7" w:rsidRPr="00231EE7" w:rsidTr="00231EE7">
        <w:trPr>
          <w:trHeight w:val="273"/>
        </w:trPr>
        <w:tc>
          <w:tcPr>
            <w:tcW w:w="1755" w:type="dxa"/>
          </w:tcPr>
          <w:p w:rsidR="00231EE7" w:rsidRPr="00231EE7" w:rsidRDefault="00231EE7" w:rsidP="00231EE7">
            <w:pPr>
              <w:spacing w:after="0" w:line="240" w:lineRule="auto"/>
              <w:ind w:right="51"/>
              <w:jc w:val="both"/>
              <w:rPr>
                <w:rFonts w:ascii="Calibri" w:eastAsia="Calibri" w:hAnsi="Calibri" w:cs="Arial"/>
                <w:b/>
                <w:bCs/>
                <w:sz w:val="20"/>
                <w:szCs w:val="20"/>
                <w:lang w:val="es-ES"/>
              </w:rPr>
            </w:pPr>
            <w:r w:rsidRPr="00231EE7">
              <w:rPr>
                <w:rFonts w:ascii="Calibri" w:eastAsia="Calibri" w:hAnsi="Calibri" w:cs="Arial"/>
                <w:b/>
                <w:bCs/>
                <w:sz w:val="20"/>
                <w:szCs w:val="20"/>
                <w:lang w:val="es-ES"/>
              </w:rPr>
              <w:t xml:space="preserve">&gt; a 10.0 </w:t>
            </w:r>
            <w:proofErr w:type="spellStart"/>
            <w:r w:rsidRPr="00231EE7">
              <w:rPr>
                <w:rFonts w:ascii="Calibri" w:eastAsia="Calibri" w:hAnsi="Calibri" w:cs="Arial"/>
                <w:b/>
                <w:bCs/>
                <w:sz w:val="20"/>
                <w:szCs w:val="20"/>
                <w:lang w:val="es-ES"/>
              </w:rPr>
              <w:t>ng</w:t>
            </w:r>
            <w:proofErr w:type="spellEnd"/>
            <w:r w:rsidRPr="00231EE7">
              <w:rPr>
                <w:rFonts w:ascii="Calibri" w:eastAsia="Calibri" w:hAnsi="Calibri" w:cs="Arial"/>
                <w:b/>
                <w:bCs/>
                <w:sz w:val="20"/>
                <w:szCs w:val="20"/>
                <w:lang w:val="es-ES"/>
              </w:rPr>
              <w:t>/</w:t>
            </w:r>
            <w:proofErr w:type="spellStart"/>
            <w:r>
              <w:rPr>
                <w:rFonts w:ascii="Calibri" w:eastAsia="Calibri" w:hAnsi="Calibri" w:cs="Arial"/>
                <w:b/>
                <w:bCs/>
                <w:sz w:val="20"/>
                <w:szCs w:val="20"/>
                <w:lang w:val="es-ES"/>
              </w:rPr>
              <w:t>dL</w:t>
            </w:r>
            <w:proofErr w:type="spellEnd"/>
          </w:p>
        </w:tc>
        <w:tc>
          <w:tcPr>
            <w:tcW w:w="1878" w:type="dxa"/>
          </w:tcPr>
          <w:p w:rsidR="00231EE7" w:rsidRPr="00231EE7" w:rsidRDefault="00231EE7" w:rsidP="00231EE7">
            <w:pPr>
              <w:spacing w:after="0" w:line="240" w:lineRule="auto"/>
              <w:ind w:right="51"/>
              <w:jc w:val="both"/>
              <w:rPr>
                <w:rFonts w:ascii="Calibri" w:eastAsia="Calibri" w:hAnsi="Calibri" w:cs="Arial"/>
                <w:sz w:val="20"/>
                <w:szCs w:val="20"/>
                <w:lang w:val="es-ES"/>
              </w:rPr>
            </w:pPr>
            <w:r w:rsidRPr="00231EE7">
              <w:rPr>
                <w:rFonts w:ascii="Calibri" w:eastAsia="Calibri" w:hAnsi="Calibri" w:cs="Arial"/>
                <w:sz w:val="20"/>
                <w:szCs w:val="20"/>
                <w:lang w:val="es-ES"/>
              </w:rPr>
              <w:t>24</w:t>
            </w:r>
          </w:p>
        </w:tc>
        <w:tc>
          <w:tcPr>
            <w:tcW w:w="1384" w:type="dxa"/>
          </w:tcPr>
          <w:p w:rsidR="00231EE7" w:rsidRPr="00231EE7" w:rsidRDefault="00231EE7" w:rsidP="00231EE7">
            <w:pPr>
              <w:spacing w:after="0" w:line="240" w:lineRule="auto"/>
              <w:ind w:right="51"/>
              <w:jc w:val="both"/>
              <w:rPr>
                <w:rFonts w:ascii="Calibri" w:eastAsia="Calibri" w:hAnsi="Calibri" w:cs="Arial"/>
                <w:sz w:val="20"/>
                <w:szCs w:val="20"/>
                <w:lang w:val="es-ES"/>
              </w:rPr>
            </w:pPr>
            <w:r w:rsidRPr="00231EE7">
              <w:rPr>
                <w:rFonts w:ascii="Calibri" w:eastAsia="Calibri" w:hAnsi="Calibri" w:cs="Arial"/>
                <w:sz w:val="20"/>
                <w:szCs w:val="20"/>
                <w:lang w:val="es-ES"/>
              </w:rPr>
              <w:t>38</w:t>
            </w:r>
          </w:p>
        </w:tc>
      </w:tr>
      <w:tr w:rsidR="00231EE7" w:rsidRPr="00231EE7" w:rsidTr="00231EE7">
        <w:trPr>
          <w:trHeight w:val="273"/>
        </w:trPr>
        <w:tc>
          <w:tcPr>
            <w:tcW w:w="1755" w:type="dxa"/>
          </w:tcPr>
          <w:p w:rsidR="00231EE7" w:rsidRPr="00231EE7" w:rsidRDefault="00231EE7" w:rsidP="00231EE7">
            <w:pPr>
              <w:spacing w:after="0" w:line="240" w:lineRule="auto"/>
              <w:ind w:right="51"/>
              <w:jc w:val="both"/>
              <w:rPr>
                <w:rFonts w:ascii="Calibri" w:eastAsia="Calibri" w:hAnsi="Calibri" w:cs="Arial"/>
                <w:b/>
                <w:bCs/>
                <w:sz w:val="20"/>
                <w:szCs w:val="20"/>
                <w:lang w:val="es-ES"/>
              </w:rPr>
            </w:pPr>
            <w:r w:rsidRPr="00231EE7">
              <w:rPr>
                <w:rFonts w:ascii="Calibri" w:eastAsia="Calibri" w:hAnsi="Calibri" w:cs="Arial"/>
                <w:b/>
                <w:bCs/>
                <w:sz w:val="20"/>
                <w:szCs w:val="20"/>
                <w:lang w:val="es-ES"/>
              </w:rPr>
              <w:t>Total</w:t>
            </w:r>
          </w:p>
        </w:tc>
        <w:tc>
          <w:tcPr>
            <w:tcW w:w="1878" w:type="dxa"/>
          </w:tcPr>
          <w:p w:rsidR="00231EE7" w:rsidRPr="00231EE7" w:rsidRDefault="00231EE7" w:rsidP="00231EE7">
            <w:pPr>
              <w:spacing w:after="0" w:line="240" w:lineRule="auto"/>
              <w:ind w:right="51"/>
              <w:jc w:val="both"/>
              <w:rPr>
                <w:rFonts w:ascii="Calibri" w:eastAsia="Calibri" w:hAnsi="Calibri" w:cs="Arial"/>
                <w:sz w:val="20"/>
                <w:szCs w:val="20"/>
                <w:lang w:val="es-ES"/>
              </w:rPr>
            </w:pPr>
            <w:r w:rsidRPr="00231EE7">
              <w:rPr>
                <w:rFonts w:ascii="Calibri" w:eastAsia="Calibri" w:hAnsi="Calibri" w:cs="Arial"/>
                <w:sz w:val="20"/>
                <w:szCs w:val="20"/>
                <w:lang w:val="es-ES"/>
              </w:rPr>
              <w:t>63</w:t>
            </w:r>
          </w:p>
        </w:tc>
        <w:tc>
          <w:tcPr>
            <w:tcW w:w="1384" w:type="dxa"/>
          </w:tcPr>
          <w:p w:rsidR="00231EE7" w:rsidRPr="00231EE7" w:rsidRDefault="00231EE7" w:rsidP="00231EE7">
            <w:pPr>
              <w:spacing w:after="0" w:line="240" w:lineRule="auto"/>
              <w:ind w:right="51"/>
              <w:jc w:val="both"/>
              <w:rPr>
                <w:rFonts w:ascii="Calibri" w:eastAsia="Calibri" w:hAnsi="Calibri" w:cs="Arial"/>
                <w:sz w:val="20"/>
                <w:szCs w:val="20"/>
                <w:lang w:val="es-ES"/>
              </w:rPr>
            </w:pPr>
            <w:r w:rsidRPr="00231EE7">
              <w:rPr>
                <w:rFonts w:ascii="Calibri" w:eastAsia="Calibri" w:hAnsi="Calibri" w:cs="Arial"/>
                <w:sz w:val="20"/>
                <w:szCs w:val="20"/>
                <w:lang w:val="es-ES"/>
              </w:rPr>
              <w:t>100</w:t>
            </w:r>
          </w:p>
        </w:tc>
      </w:tr>
    </w:tbl>
    <w:p w:rsidR="00CD0C68" w:rsidRPr="00EA1F14" w:rsidRDefault="005655FC" w:rsidP="00EA1F14">
      <w:pPr>
        <w:spacing w:after="0" w:line="240" w:lineRule="auto"/>
        <w:ind w:right="51"/>
        <w:jc w:val="both"/>
        <w:rPr>
          <w:rFonts w:ascii="Calibri" w:eastAsia="Calibri" w:hAnsi="Calibri" w:cs="Arial"/>
          <w:sz w:val="20"/>
          <w:szCs w:val="20"/>
          <w:lang w:val="es-ES"/>
        </w:rPr>
      </w:pPr>
      <w:r>
        <w:rPr>
          <w:rFonts w:ascii="Arial" w:eastAsia="Calibri" w:hAnsi="Arial" w:cs="Arial"/>
          <w:b/>
          <w:noProof/>
          <w:sz w:val="20"/>
          <w:szCs w:val="20"/>
          <w:lang w:eastAsia="es-MX"/>
        </w:rPr>
        <w:drawing>
          <wp:inline distT="0" distB="0" distL="0" distR="0" wp14:anchorId="7E19DBC7" wp14:editId="41115A9A">
            <wp:extent cx="1945843" cy="1118575"/>
            <wp:effectExtent l="0" t="0" r="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89" cy="1118142"/>
                    </a:xfrm>
                    <a:prstGeom prst="rect">
                      <a:avLst/>
                    </a:prstGeom>
                    <a:noFill/>
                  </pic:spPr>
                </pic:pic>
              </a:graphicData>
            </a:graphic>
          </wp:inline>
        </w:drawing>
      </w:r>
      <w:r w:rsidR="00CD0C68" w:rsidRPr="00CD0C68">
        <w:rPr>
          <w:rFonts w:ascii="Arial" w:eastAsia="Times New Roman" w:hAnsi="Arial" w:cs="Arial"/>
          <w:sz w:val="20"/>
          <w:szCs w:val="24"/>
          <w:lang w:val="es-ES"/>
        </w:rPr>
        <w:t xml:space="preserve">                                    </w:t>
      </w:r>
    </w:p>
    <w:p w:rsidR="00CD0C68" w:rsidRPr="00CD0C68" w:rsidRDefault="00CD0C68" w:rsidP="00CD0C68">
      <w:pPr>
        <w:autoSpaceDE w:val="0"/>
        <w:autoSpaceDN w:val="0"/>
        <w:adjustRightInd w:val="0"/>
        <w:spacing w:after="0" w:line="240" w:lineRule="auto"/>
        <w:jc w:val="both"/>
        <w:rPr>
          <w:rFonts w:ascii="Arial" w:eastAsia="Times New Roman" w:hAnsi="Arial" w:cs="Arial"/>
          <w:sz w:val="20"/>
          <w:szCs w:val="24"/>
          <w:lang w:val="es-ES"/>
        </w:rPr>
      </w:pPr>
    </w:p>
    <w:p w:rsidR="00CD0C68" w:rsidRPr="00CD0C68" w:rsidRDefault="00CD0C68" w:rsidP="00CD0C68">
      <w:pPr>
        <w:spacing w:after="0" w:line="240" w:lineRule="auto"/>
        <w:jc w:val="both"/>
        <w:rPr>
          <w:rFonts w:ascii="Arial" w:eastAsia="Calibri" w:hAnsi="Arial" w:cs="Arial"/>
          <w:b/>
          <w:sz w:val="20"/>
          <w:szCs w:val="20"/>
          <w:lang w:eastAsia="es-MX"/>
        </w:rPr>
      </w:pPr>
    </w:p>
    <w:p w:rsidR="00CD0C68" w:rsidRDefault="00CD0C68" w:rsidP="00231EE7">
      <w:pPr>
        <w:spacing w:after="0" w:line="240" w:lineRule="auto"/>
        <w:jc w:val="both"/>
        <w:rPr>
          <w:rFonts w:ascii="Arial" w:eastAsia="Calibri" w:hAnsi="Arial" w:cs="Arial"/>
          <w:sz w:val="20"/>
          <w:szCs w:val="20"/>
          <w:lang w:val="es-ES" w:eastAsia="es-MX"/>
        </w:rPr>
      </w:pPr>
      <w:r w:rsidRPr="00231EE7">
        <w:rPr>
          <w:rFonts w:ascii="Arial" w:eastAsia="Calibri" w:hAnsi="Arial" w:cs="Arial"/>
          <w:b/>
          <w:sz w:val="20"/>
          <w:szCs w:val="20"/>
          <w:lang w:eastAsia="es-MX"/>
        </w:rPr>
        <w:t xml:space="preserve">GRÁFICO No 3. </w:t>
      </w:r>
      <w:r w:rsidR="00231EE7" w:rsidRPr="00231EE7">
        <w:rPr>
          <w:rFonts w:ascii="Arial" w:eastAsia="Calibri" w:hAnsi="Arial" w:cs="Arial"/>
          <w:b/>
          <w:bCs/>
          <w:sz w:val="20"/>
          <w:szCs w:val="20"/>
          <w:lang w:val="es-ES" w:eastAsia="es-MX"/>
        </w:rPr>
        <w:t xml:space="preserve">Clasificación por grupo etario. </w:t>
      </w:r>
      <w:r w:rsidR="00231EE7" w:rsidRPr="00231EE7">
        <w:rPr>
          <w:rFonts w:ascii="Arial" w:eastAsia="Calibri" w:hAnsi="Arial" w:cs="Arial"/>
          <w:sz w:val="20"/>
          <w:szCs w:val="20"/>
          <w:lang w:val="es-ES" w:eastAsia="es-MX"/>
        </w:rPr>
        <w:t>Los 300 pacientes que participaron fueron distribuidos en 6 grupos de estudio según su edad</w:t>
      </w:r>
      <w:r w:rsidR="00231EE7">
        <w:rPr>
          <w:rFonts w:ascii="Arial" w:eastAsia="Calibri" w:hAnsi="Arial" w:cs="Arial"/>
          <w:sz w:val="20"/>
          <w:szCs w:val="20"/>
          <w:lang w:val="es-ES" w:eastAsia="es-MX"/>
        </w:rPr>
        <w:t>.</w:t>
      </w:r>
    </w:p>
    <w:p w:rsidR="00231EE7" w:rsidRPr="00231EE7" w:rsidRDefault="00231EE7" w:rsidP="00231EE7">
      <w:pPr>
        <w:spacing w:after="0" w:line="240" w:lineRule="auto"/>
        <w:jc w:val="both"/>
        <w:rPr>
          <w:rFonts w:ascii="Arial" w:eastAsia="Calibri" w:hAnsi="Arial" w:cs="Arial"/>
          <w:b/>
          <w:sz w:val="20"/>
          <w:szCs w:val="20"/>
          <w:lang w:eastAsia="es-MX"/>
        </w:rPr>
      </w:pPr>
    </w:p>
    <w:tbl>
      <w:tblPr>
        <w:tblpPr w:leftFromText="141" w:rightFromText="141" w:vertAnchor="text" w:horzAnchor="page" w:tblpX="5330" w:tblpY="50"/>
        <w:tblW w:w="4507" w:type="dxa"/>
        <w:tblBorders>
          <w:top w:val="single" w:sz="8" w:space="0" w:color="4BACC6"/>
          <w:bottom w:val="single" w:sz="8" w:space="0" w:color="4BACC6"/>
        </w:tblBorders>
        <w:tblLook w:val="04A0" w:firstRow="1" w:lastRow="0" w:firstColumn="1" w:lastColumn="0" w:noHBand="0" w:noVBand="1"/>
      </w:tblPr>
      <w:tblGrid>
        <w:gridCol w:w="1591"/>
        <w:gridCol w:w="1611"/>
        <w:gridCol w:w="1305"/>
      </w:tblGrid>
      <w:tr w:rsidR="00231EE7" w:rsidRPr="00231EE7" w:rsidTr="00231EE7">
        <w:trPr>
          <w:trHeight w:val="404"/>
        </w:trPr>
        <w:tc>
          <w:tcPr>
            <w:tcW w:w="1591" w:type="dxa"/>
            <w:tcBorders>
              <w:top w:val="single" w:sz="8" w:space="0" w:color="4BACC6"/>
              <w:left w:val="nil"/>
              <w:bottom w:val="single" w:sz="8" w:space="0" w:color="4BACC6"/>
              <w:right w:val="nil"/>
            </w:tcBorders>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GRUPO ETARIO</w:t>
            </w:r>
          </w:p>
        </w:tc>
        <w:tc>
          <w:tcPr>
            <w:tcW w:w="1611" w:type="dxa"/>
            <w:tcBorders>
              <w:top w:val="single" w:sz="8" w:space="0" w:color="4BACC6"/>
              <w:left w:val="nil"/>
              <w:bottom w:val="single" w:sz="8" w:space="0" w:color="4BACC6"/>
              <w:right w:val="nil"/>
            </w:tcBorders>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EDADES</w:t>
            </w:r>
          </w:p>
        </w:tc>
        <w:tc>
          <w:tcPr>
            <w:tcW w:w="1305" w:type="dxa"/>
            <w:tcBorders>
              <w:top w:val="single" w:sz="8" w:space="0" w:color="4BACC6"/>
              <w:left w:val="nil"/>
              <w:bottom w:val="single" w:sz="8" w:space="0" w:color="4BACC6"/>
              <w:right w:val="nil"/>
            </w:tcBorders>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PORCENTAJE (%)</w:t>
            </w:r>
          </w:p>
        </w:tc>
      </w:tr>
      <w:tr w:rsidR="00231EE7" w:rsidRPr="00231EE7" w:rsidTr="00231EE7">
        <w:trPr>
          <w:trHeight w:val="364"/>
        </w:trPr>
        <w:tc>
          <w:tcPr>
            <w:tcW w:w="1591"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1</w:t>
            </w:r>
          </w:p>
        </w:tc>
        <w:tc>
          <w:tcPr>
            <w:tcW w:w="1611"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31 a 40 años</w:t>
            </w:r>
          </w:p>
        </w:tc>
        <w:tc>
          <w:tcPr>
            <w:tcW w:w="1305"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10</w:t>
            </w:r>
          </w:p>
        </w:tc>
      </w:tr>
      <w:tr w:rsidR="00231EE7" w:rsidRPr="00231EE7" w:rsidTr="00231EE7">
        <w:trPr>
          <w:trHeight w:val="364"/>
        </w:trPr>
        <w:tc>
          <w:tcPr>
            <w:tcW w:w="1591" w:type="dxa"/>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2</w:t>
            </w:r>
          </w:p>
        </w:tc>
        <w:tc>
          <w:tcPr>
            <w:tcW w:w="1611"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41 a 50 años</w:t>
            </w:r>
          </w:p>
        </w:tc>
        <w:tc>
          <w:tcPr>
            <w:tcW w:w="1305"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28</w:t>
            </w:r>
          </w:p>
        </w:tc>
      </w:tr>
      <w:tr w:rsidR="00231EE7" w:rsidRPr="00231EE7" w:rsidTr="00231EE7">
        <w:trPr>
          <w:trHeight w:val="364"/>
        </w:trPr>
        <w:tc>
          <w:tcPr>
            <w:tcW w:w="1591"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3</w:t>
            </w:r>
          </w:p>
        </w:tc>
        <w:tc>
          <w:tcPr>
            <w:tcW w:w="1611"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51 a 60 años</w:t>
            </w:r>
          </w:p>
        </w:tc>
        <w:tc>
          <w:tcPr>
            <w:tcW w:w="1305"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23</w:t>
            </w:r>
          </w:p>
        </w:tc>
      </w:tr>
      <w:tr w:rsidR="00231EE7" w:rsidRPr="00231EE7" w:rsidTr="00231EE7">
        <w:trPr>
          <w:trHeight w:val="364"/>
        </w:trPr>
        <w:tc>
          <w:tcPr>
            <w:tcW w:w="1591" w:type="dxa"/>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4</w:t>
            </w:r>
          </w:p>
        </w:tc>
        <w:tc>
          <w:tcPr>
            <w:tcW w:w="1611"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61 a 70 años</w:t>
            </w:r>
          </w:p>
        </w:tc>
        <w:tc>
          <w:tcPr>
            <w:tcW w:w="1305"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21</w:t>
            </w:r>
          </w:p>
        </w:tc>
      </w:tr>
      <w:tr w:rsidR="00231EE7" w:rsidRPr="00231EE7" w:rsidTr="00231EE7">
        <w:trPr>
          <w:trHeight w:val="364"/>
        </w:trPr>
        <w:tc>
          <w:tcPr>
            <w:tcW w:w="1591"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5</w:t>
            </w:r>
          </w:p>
        </w:tc>
        <w:tc>
          <w:tcPr>
            <w:tcW w:w="1611"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71 a 80 años</w:t>
            </w:r>
          </w:p>
        </w:tc>
        <w:tc>
          <w:tcPr>
            <w:tcW w:w="1305" w:type="dxa"/>
            <w:tcBorders>
              <w:left w:val="nil"/>
              <w:right w:val="nil"/>
            </w:tcBorders>
            <w:shd w:val="clear" w:color="auto" w:fill="D2EAF1"/>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12</w:t>
            </w:r>
          </w:p>
        </w:tc>
      </w:tr>
      <w:tr w:rsidR="00231EE7" w:rsidRPr="00231EE7" w:rsidTr="00231EE7">
        <w:trPr>
          <w:trHeight w:val="364"/>
        </w:trPr>
        <w:tc>
          <w:tcPr>
            <w:tcW w:w="1591" w:type="dxa"/>
          </w:tcPr>
          <w:p w:rsidR="00231EE7" w:rsidRPr="00231EE7" w:rsidRDefault="00231EE7" w:rsidP="00231EE7">
            <w:pPr>
              <w:spacing w:after="0" w:line="360" w:lineRule="auto"/>
              <w:ind w:right="51"/>
              <w:jc w:val="center"/>
              <w:rPr>
                <w:rFonts w:ascii="Arial" w:eastAsia="Calibri" w:hAnsi="Arial" w:cs="Arial"/>
                <w:b/>
                <w:bCs/>
                <w:sz w:val="14"/>
                <w:szCs w:val="14"/>
                <w:lang w:val="es-ES"/>
              </w:rPr>
            </w:pPr>
            <w:r w:rsidRPr="00231EE7">
              <w:rPr>
                <w:rFonts w:ascii="Arial" w:eastAsia="Calibri" w:hAnsi="Arial" w:cs="Arial"/>
                <w:b/>
                <w:bCs/>
                <w:sz w:val="14"/>
                <w:szCs w:val="14"/>
                <w:lang w:val="es-ES"/>
              </w:rPr>
              <w:t>6</w:t>
            </w:r>
          </w:p>
        </w:tc>
        <w:tc>
          <w:tcPr>
            <w:tcW w:w="1611"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81 a 90 años</w:t>
            </w:r>
          </w:p>
        </w:tc>
        <w:tc>
          <w:tcPr>
            <w:tcW w:w="1305"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6</w:t>
            </w:r>
          </w:p>
        </w:tc>
      </w:tr>
      <w:tr w:rsidR="00231EE7" w:rsidRPr="00231EE7" w:rsidTr="00231EE7">
        <w:trPr>
          <w:trHeight w:val="364"/>
        </w:trPr>
        <w:tc>
          <w:tcPr>
            <w:tcW w:w="1591" w:type="dxa"/>
          </w:tcPr>
          <w:p w:rsidR="00231EE7" w:rsidRPr="00231EE7" w:rsidRDefault="00231EE7" w:rsidP="00231EE7">
            <w:pPr>
              <w:spacing w:after="0" w:line="360" w:lineRule="auto"/>
              <w:ind w:right="51"/>
              <w:jc w:val="center"/>
              <w:rPr>
                <w:rFonts w:ascii="Arial" w:eastAsia="Calibri" w:hAnsi="Arial" w:cs="Arial"/>
                <w:b/>
                <w:bCs/>
                <w:sz w:val="14"/>
                <w:szCs w:val="14"/>
                <w:lang w:val="es-ES"/>
              </w:rPr>
            </w:pPr>
          </w:p>
        </w:tc>
        <w:tc>
          <w:tcPr>
            <w:tcW w:w="1611" w:type="dxa"/>
          </w:tcPr>
          <w:p w:rsidR="00231EE7" w:rsidRPr="00231EE7" w:rsidRDefault="00231EE7" w:rsidP="00231EE7">
            <w:pPr>
              <w:spacing w:after="0" w:line="360" w:lineRule="auto"/>
              <w:ind w:right="51"/>
              <w:rPr>
                <w:rFonts w:ascii="Arial" w:eastAsia="Calibri" w:hAnsi="Arial" w:cs="Arial"/>
                <w:b/>
                <w:sz w:val="14"/>
                <w:szCs w:val="14"/>
                <w:lang w:val="es-ES"/>
              </w:rPr>
            </w:pPr>
          </w:p>
        </w:tc>
        <w:tc>
          <w:tcPr>
            <w:tcW w:w="1305" w:type="dxa"/>
          </w:tcPr>
          <w:p w:rsidR="00231EE7" w:rsidRPr="00231EE7" w:rsidRDefault="00231EE7" w:rsidP="00231EE7">
            <w:pPr>
              <w:spacing w:after="0" w:line="360" w:lineRule="auto"/>
              <w:ind w:right="51"/>
              <w:jc w:val="center"/>
              <w:rPr>
                <w:rFonts w:ascii="Arial" w:eastAsia="Calibri" w:hAnsi="Arial" w:cs="Arial"/>
                <w:b/>
                <w:sz w:val="14"/>
                <w:szCs w:val="14"/>
                <w:lang w:val="es-ES"/>
              </w:rPr>
            </w:pPr>
            <w:r w:rsidRPr="00231EE7">
              <w:rPr>
                <w:rFonts w:ascii="Arial" w:eastAsia="Calibri" w:hAnsi="Arial" w:cs="Arial"/>
                <w:b/>
                <w:sz w:val="14"/>
                <w:szCs w:val="14"/>
                <w:lang w:val="es-ES"/>
              </w:rPr>
              <w:t>100</w:t>
            </w:r>
          </w:p>
        </w:tc>
      </w:tr>
    </w:tbl>
    <w:p w:rsidR="00231EE7" w:rsidRDefault="00231EE7" w:rsidP="00231EE7">
      <w:pPr>
        <w:spacing w:after="0" w:line="240" w:lineRule="auto"/>
        <w:ind w:left="360"/>
        <w:jc w:val="both"/>
        <w:rPr>
          <w:rFonts w:ascii="Arial" w:eastAsia="Calibri" w:hAnsi="Arial" w:cs="Arial"/>
          <w:b/>
          <w:sz w:val="20"/>
          <w:szCs w:val="20"/>
          <w:lang w:eastAsia="es-MX"/>
        </w:rPr>
      </w:pPr>
      <w:r>
        <w:rPr>
          <w:rFonts w:ascii="Arial" w:eastAsia="Calibri" w:hAnsi="Arial" w:cs="Arial"/>
          <w:b/>
          <w:noProof/>
          <w:sz w:val="20"/>
          <w:szCs w:val="20"/>
          <w:lang w:eastAsia="es-MX"/>
        </w:rPr>
        <w:drawing>
          <wp:inline distT="0" distB="0" distL="0" distR="0" wp14:anchorId="1A9C0A7F" wp14:editId="6F4B5C69">
            <wp:extent cx="1757411" cy="103144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757198" cy="1031318"/>
                    </a:xfrm>
                    <a:prstGeom prst="rect">
                      <a:avLst/>
                    </a:prstGeom>
                    <a:noFill/>
                  </pic:spPr>
                </pic:pic>
              </a:graphicData>
            </a:graphic>
          </wp:inline>
        </w:drawing>
      </w:r>
    </w:p>
    <w:p w:rsidR="00231EE7" w:rsidRDefault="00231EE7" w:rsidP="00231EE7">
      <w:pPr>
        <w:spacing w:after="0" w:line="240" w:lineRule="auto"/>
        <w:ind w:left="360"/>
        <w:jc w:val="both"/>
        <w:rPr>
          <w:rFonts w:ascii="Arial" w:eastAsia="Calibri" w:hAnsi="Arial" w:cs="Arial"/>
          <w:b/>
          <w:sz w:val="20"/>
          <w:szCs w:val="20"/>
          <w:lang w:eastAsia="es-MX"/>
        </w:rPr>
      </w:pPr>
    </w:p>
    <w:p w:rsidR="00231EE7" w:rsidRDefault="00231EE7" w:rsidP="00231EE7">
      <w:pPr>
        <w:spacing w:after="0" w:line="240" w:lineRule="auto"/>
        <w:ind w:left="360"/>
        <w:jc w:val="both"/>
        <w:rPr>
          <w:rFonts w:ascii="Arial" w:eastAsia="Calibri" w:hAnsi="Arial" w:cs="Arial"/>
          <w:b/>
          <w:sz w:val="20"/>
          <w:szCs w:val="20"/>
          <w:lang w:eastAsia="es-MX"/>
        </w:rPr>
      </w:pPr>
    </w:p>
    <w:p w:rsidR="00231EE7" w:rsidRDefault="00231EE7" w:rsidP="00231EE7">
      <w:pPr>
        <w:spacing w:after="0" w:line="240" w:lineRule="auto"/>
        <w:ind w:left="360"/>
        <w:jc w:val="both"/>
        <w:rPr>
          <w:rFonts w:ascii="Arial" w:eastAsia="Calibri" w:hAnsi="Arial" w:cs="Arial"/>
          <w:b/>
          <w:sz w:val="20"/>
          <w:szCs w:val="20"/>
          <w:lang w:eastAsia="es-MX"/>
        </w:rPr>
      </w:pPr>
    </w:p>
    <w:p w:rsidR="00231EE7" w:rsidRDefault="00231EE7" w:rsidP="00231EE7">
      <w:pPr>
        <w:spacing w:after="0" w:line="240" w:lineRule="auto"/>
        <w:ind w:left="360"/>
        <w:jc w:val="both"/>
        <w:rPr>
          <w:rFonts w:ascii="Arial" w:eastAsia="Calibri" w:hAnsi="Arial" w:cs="Arial"/>
          <w:b/>
          <w:sz w:val="20"/>
          <w:szCs w:val="20"/>
          <w:lang w:eastAsia="es-MX"/>
        </w:rPr>
      </w:pPr>
    </w:p>
    <w:p w:rsidR="00231EE7" w:rsidRDefault="00231EE7" w:rsidP="00231EE7">
      <w:pPr>
        <w:spacing w:after="0" w:line="240" w:lineRule="auto"/>
        <w:ind w:left="360"/>
        <w:jc w:val="both"/>
        <w:rPr>
          <w:rFonts w:ascii="Arial" w:eastAsia="Calibri" w:hAnsi="Arial" w:cs="Arial"/>
          <w:b/>
          <w:sz w:val="20"/>
          <w:szCs w:val="20"/>
          <w:lang w:eastAsia="es-MX"/>
        </w:rPr>
      </w:pPr>
    </w:p>
    <w:p w:rsidR="00231EE7" w:rsidRDefault="00231EE7" w:rsidP="00231EE7">
      <w:pPr>
        <w:spacing w:after="0" w:line="240" w:lineRule="auto"/>
        <w:ind w:left="360"/>
        <w:jc w:val="both"/>
        <w:rPr>
          <w:rFonts w:ascii="Arial" w:eastAsia="Calibri" w:hAnsi="Arial" w:cs="Arial"/>
          <w:b/>
          <w:sz w:val="20"/>
          <w:szCs w:val="20"/>
          <w:lang w:eastAsia="es-MX"/>
        </w:rPr>
      </w:pPr>
    </w:p>
    <w:p w:rsidR="00231EE7" w:rsidRDefault="00231EE7" w:rsidP="00231EE7">
      <w:pPr>
        <w:spacing w:after="0" w:line="240" w:lineRule="auto"/>
        <w:ind w:left="360"/>
        <w:jc w:val="both"/>
        <w:rPr>
          <w:rFonts w:ascii="Arial" w:eastAsia="Calibri" w:hAnsi="Arial" w:cs="Arial"/>
          <w:b/>
          <w:sz w:val="20"/>
          <w:szCs w:val="20"/>
          <w:lang w:eastAsia="es-MX"/>
        </w:rPr>
      </w:pPr>
    </w:p>
    <w:p w:rsidR="00231EE7" w:rsidRPr="00231EE7" w:rsidRDefault="00CD0C68" w:rsidP="00231EE7">
      <w:pPr>
        <w:spacing w:after="0" w:line="240" w:lineRule="auto"/>
        <w:jc w:val="both"/>
        <w:rPr>
          <w:rFonts w:ascii="Arial" w:eastAsia="Calibri" w:hAnsi="Arial" w:cs="Arial"/>
          <w:b/>
          <w:bCs/>
          <w:sz w:val="20"/>
          <w:szCs w:val="20"/>
          <w:lang w:val="es-ES" w:eastAsia="es-MX"/>
        </w:rPr>
      </w:pPr>
      <w:r w:rsidRPr="00CD0C68">
        <w:rPr>
          <w:rFonts w:ascii="Arial" w:eastAsia="Calibri" w:hAnsi="Arial" w:cs="Arial"/>
          <w:b/>
          <w:sz w:val="20"/>
          <w:szCs w:val="20"/>
          <w:lang w:eastAsia="es-MX"/>
        </w:rPr>
        <w:t xml:space="preserve">GRÁFICO No 4. </w:t>
      </w:r>
      <w:r w:rsidR="00231EE7" w:rsidRPr="00231EE7">
        <w:rPr>
          <w:rFonts w:ascii="Arial" w:eastAsia="Calibri" w:hAnsi="Arial" w:cs="Arial"/>
          <w:b/>
          <w:bCs/>
          <w:sz w:val="20"/>
          <w:szCs w:val="20"/>
          <w:lang w:val="es-ES" w:eastAsia="es-MX"/>
        </w:rPr>
        <w:t xml:space="preserve">Pacientes con PSA superior a 4 </w:t>
      </w:r>
      <w:proofErr w:type="spellStart"/>
      <w:r w:rsidR="00231EE7" w:rsidRPr="00231EE7">
        <w:rPr>
          <w:rFonts w:ascii="Arial" w:eastAsia="Calibri" w:hAnsi="Arial" w:cs="Arial"/>
          <w:b/>
          <w:bCs/>
          <w:sz w:val="20"/>
          <w:szCs w:val="20"/>
          <w:lang w:val="es-ES" w:eastAsia="es-MX"/>
        </w:rPr>
        <w:t>ng</w:t>
      </w:r>
      <w:proofErr w:type="spellEnd"/>
      <w:r w:rsidR="00231EE7" w:rsidRPr="00231EE7">
        <w:rPr>
          <w:rFonts w:ascii="Arial" w:eastAsia="Calibri" w:hAnsi="Arial" w:cs="Arial"/>
          <w:b/>
          <w:bCs/>
          <w:sz w:val="20"/>
          <w:szCs w:val="20"/>
          <w:lang w:val="es-ES" w:eastAsia="es-MX"/>
        </w:rPr>
        <w:t>/dl, de acuerdo al grupo etario</w:t>
      </w:r>
      <w:r w:rsidR="00231EE7">
        <w:rPr>
          <w:rFonts w:ascii="Arial" w:eastAsia="Calibri" w:hAnsi="Arial" w:cs="Arial"/>
          <w:b/>
          <w:bCs/>
          <w:sz w:val="20"/>
          <w:szCs w:val="20"/>
          <w:lang w:val="es-ES" w:eastAsia="es-MX"/>
        </w:rPr>
        <w:t xml:space="preserve">. </w:t>
      </w:r>
      <w:r w:rsidR="00231EE7" w:rsidRPr="00231EE7">
        <w:rPr>
          <w:rFonts w:ascii="Arial" w:eastAsia="Calibri" w:hAnsi="Arial" w:cs="Arial"/>
          <w:bCs/>
          <w:sz w:val="20"/>
          <w:szCs w:val="20"/>
          <w:lang w:val="es-ES" w:eastAsia="es-MX"/>
        </w:rPr>
        <w:t xml:space="preserve">Del 21 % (63) de los pacientes con PSA superior a 4 </w:t>
      </w:r>
      <w:proofErr w:type="spellStart"/>
      <w:r w:rsidR="00231EE7" w:rsidRPr="00231EE7">
        <w:rPr>
          <w:rFonts w:ascii="Arial" w:eastAsia="Calibri" w:hAnsi="Arial" w:cs="Arial"/>
          <w:bCs/>
          <w:sz w:val="20"/>
          <w:szCs w:val="20"/>
          <w:lang w:val="es-ES" w:eastAsia="es-MX"/>
        </w:rPr>
        <w:t>ng</w:t>
      </w:r>
      <w:proofErr w:type="spellEnd"/>
      <w:r w:rsidR="00231EE7" w:rsidRPr="00231EE7">
        <w:rPr>
          <w:rFonts w:ascii="Arial" w:eastAsia="Calibri" w:hAnsi="Arial" w:cs="Arial"/>
          <w:bCs/>
          <w:sz w:val="20"/>
          <w:szCs w:val="20"/>
          <w:lang w:val="es-ES" w:eastAsia="es-MX"/>
        </w:rPr>
        <w:t>/</w:t>
      </w:r>
      <w:proofErr w:type="spellStart"/>
      <w:r w:rsidR="00231EE7" w:rsidRPr="00231EE7">
        <w:rPr>
          <w:rFonts w:ascii="Arial" w:eastAsia="Calibri" w:hAnsi="Arial" w:cs="Arial"/>
          <w:bCs/>
          <w:sz w:val="20"/>
          <w:szCs w:val="20"/>
          <w:lang w:val="es-ES" w:eastAsia="es-MX"/>
        </w:rPr>
        <w:t>dL</w:t>
      </w:r>
      <w:proofErr w:type="spellEnd"/>
      <w:r w:rsidR="00231EE7" w:rsidRPr="00231EE7">
        <w:rPr>
          <w:rFonts w:ascii="Arial" w:eastAsia="Calibri" w:hAnsi="Arial" w:cs="Arial"/>
          <w:bCs/>
          <w:sz w:val="20"/>
          <w:szCs w:val="20"/>
          <w:lang w:val="es-ES" w:eastAsia="es-MX"/>
        </w:rPr>
        <w:t>, el grupo predominante fue el 3 en el rango comprendido de 51 a 60 años con un 23% (14).</w:t>
      </w:r>
    </w:p>
    <w:tbl>
      <w:tblPr>
        <w:tblpPr w:leftFromText="141" w:rightFromText="141" w:vertAnchor="text" w:horzAnchor="page" w:tblpX="4915" w:tblpY="79"/>
        <w:tblW w:w="5062" w:type="dxa"/>
        <w:tblBorders>
          <w:top w:val="single" w:sz="8" w:space="0" w:color="4F81BD"/>
          <w:bottom w:val="single" w:sz="8" w:space="0" w:color="4F81BD"/>
        </w:tblBorders>
        <w:tblLayout w:type="fixed"/>
        <w:tblLook w:val="04A0" w:firstRow="1" w:lastRow="0" w:firstColumn="1" w:lastColumn="0" w:noHBand="0" w:noVBand="1"/>
      </w:tblPr>
      <w:tblGrid>
        <w:gridCol w:w="1259"/>
        <w:gridCol w:w="2492"/>
        <w:gridCol w:w="1311"/>
      </w:tblGrid>
      <w:tr w:rsidR="00231EE7" w:rsidRPr="00EA1F14" w:rsidTr="00EA1F14">
        <w:trPr>
          <w:trHeight w:val="457"/>
        </w:trPr>
        <w:tc>
          <w:tcPr>
            <w:tcW w:w="1259" w:type="dxa"/>
            <w:tcBorders>
              <w:top w:val="single" w:sz="8" w:space="0" w:color="4F81BD"/>
              <w:left w:val="nil"/>
              <w:bottom w:val="single" w:sz="8" w:space="0" w:color="4F81BD"/>
              <w:right w:val="nil"/>
            </w:tcBorders>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Grupo etario</w:t>
            </w:r>
          </w:p>
        </w:tc>
        <w:tc>
          <w:tcPr>
            <w:tcW w:w="2492" w:type="dxa"/>
            <w:tcBorders>
              <w:top w:val="single" w:sz="8" w:space="0" w:color="4F81BD"/>
              <w:left w:val="nil"/>
              <w:bottom w:val="single" w:sz="8" w:space="0" w:color="4F81BD"/>
              <w:right w:val="nil"/>
            </w:tcBorders>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 xml:space="preserve">Concentración &gt; 4.0 </w:t>
            </w:r>
            <w:proofErr w:type="spellStart"/>
            <w:r w:rsidRPr="00EA1F14">
              <w:rPr>
                <w:rFonts w:ascii="Arial" w:eastAsia="Calibri" w:hAnsi="Arial" w:cs="Arial"/>
                <w:b/>
                <w:bCs/>
                <w:sz w:val="16"/>
                <w:szCs w:val="16"/>
                <w:lang w:val="es-ES"/>
              </w:rPr>
              <w:t>ng</w:t>
            </w:r>
            <w:proofErr w:type="spellEnd"/>
            <w:r w:rsidRPr="00EA1F14">
              <w:rPr>
                <w:rFonts w:ascii="Arial" w:eastAsia="Calibri" w:hAnsi="Arial" w:cs="Arial"/>
                <w:b/>
                <w:bCs/>
                <w:sz w:val="16"/>
                <w:szCs w:val="16"/>
                <w:lang w:val="es-ES"/>
              </w:rPr>
              <w:t>/</w:t>
            </w:r>
            <w:proofErr w:type="spellStart"/>
            <w:r w:rsidRPr="00EA1F14">
              <w:rPr>
                <w:rFonts w:ascii="Arial" w:eastAsia="Calibri" w:hAnsi="Arial" w:cs="Arial"/>
                <w:b/>
                <w:bCs/>
                <w:sz w:val="16"/>
                <w:szCs w:val="16"/>
                <w:lang w:val="es-ES"/>
              </w:rPr>
              <w:t>dL</w:t>
            </w:r>
            <w:proofErr w:type="spellEnd"/>
            <w:r w:rsidRPr="00EA1F14">
              <w:rPr>
                <w:rFonts w:ascii="Arial" w:eastAsia="Calibri" w:hAnsi="Arial" w:cs="Arial"/>
                <w:b/>
                <w:bCs/>
                <w:sz w:val="16"/>
                <w:szCs w:val="16"/>
                <w:lang w:val="es-ES"/>
              </w:rPr>
              <w:t xml:space="preserve"> de PSA</w:t>
            </w:r>
          </w:p>
        </w:tc>
        <w:tc>
          <w:tcPr>
            <w:tcW w:w="1311" w:type="dxa"/>
            <w:tcBorders>
              <w:top w:val="single" w:sz="8" w:space="0" w:color="4F81BD"/>
              <w:left w:val="nil"/>
              <w:bottom w:val="single" w:sz="8" w:space="0" w:color="4F81BD"/>
              <w:right w:val="nil"/>
            </w:tcBorders>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Porcentaje (%)</w:t>
            </w:r>
          </w:p>
        </w:tc>
      </w:tr>
      <w:tr w:rsidR="00231EE7" w:rsidRPr="00EA1F14" w:rsidTr="00EA1F14">
        <w:trPr>
          <w:trHeight w:val="228"/>
        </w:trPr>
        <w:tc>
          <w:tcPr>
            <w:tcW w:w="1259"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31 a 40 años</w:t>
            </w:r>
          </w:p>
        </w:tc>
        <w:tc>
          <w:tcPr>
            <w:tcW w:w="2492"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9</w:t>
            </w:r>
          </w:p>
        </w:tc>
        <w:tc>
          <w:tcPr>
            <w:tcW w:w="1311"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14</w:t>
            </w:r>
          </w:p>
        </w:tc>
      </w:tr>
      <w:tr w:rsidR="00231EE7" w:rsidRPr="00EA1F14" w:rsidTr="00EA1F14">
        <w:trPr>
          <w:trHeight w:val="228"/>
        </w:trPr>
        <w:tc>
          <w:tcPr>
            <w:tcW w:w="1259" w:type="dxa"/>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41 a 50 años</w:t>
            </w:r>
          </w:p>
        </w:tc>
        <w:tc>
          <w:tcPr>
            <w:tcW w:w="2492"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11</w:t>
            </w:r>
          </w:p>
        </w:tc>
        <w:tc>
          <w:tcPr>
            <w:tcW w:w="1311"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17</w:t>
            </w:r>
          </w:p>
        </w:tc>
      </w:tr>
      <w:tr w:rsidR="00231EE7" w:rsidRPr="00EA1F14" w:rsidTr="00EA1F14">
        <w:trPr>
          <w:trHeight w:val="228"/>
        </w:trPr>
        <w:tc>
          <w:tcPr>
            <w:tcW w:w="1259"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51 a 60 años</w:t>
            </w:r>
          </w:p>
        </w:tc>
        <w:tc>
          <w:tcPr>
            <w:tcW w:w="2492"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14</w:t>
            </w:r>
          </w:p>
        </w:tc>
        <w:tc>
          <w:tcPr>
            <w:tcW w:w="1311"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23</w:t>
            </w:r>
          </w:p>
        </w:tc>
      </w:tr>
      <w:tr w:rsidR="00231EE7" w:rsidRPr="00EA1F14" w:rsidTr="00EA1F14">
        <w:trPr>
          <w:trHeight w:val="217"/>
        </w:trPr>
        <w:tc>
          <w:tcPr>
            <w:tcW w:w="1259" w:type="dxa"/>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61 a 70 años</w:t>
            </w:r>
          </w:p>
        </w:tc>
        <w:tc>
          <w:tcPr>
            <w:tcW w:w="2492"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13</w:t>
            </w:r>
          </w:p>
        </w:tc>
        <w:tc>
          <w:tcPr>
            <w:tcW w:w="1311"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21</w:t>
            </w:r>
          </w:p>
        </w:tc>
      </w:tr>
      <w:tr w:rsidR="00231EE7" w:rsidRPr="00EA1F14" w:rsidTr="00EA1F14">
        <w:trPr>
          <w:trHeight w:val="228"/>
        </w:trPr>
        <w:tc>
          <w:tcPr>
            <w:tcW w:w="1259"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71 a 80 años</w:t>
            </w:r>
          </w:p>
        </w:tc>
        <w:tc>
          <w:tcPr>
            <w:tcW w:w="2492"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11</w:t>
            </w:r>
          </w:p>
        </w:tc>
        <w:tc>
          <w:tcPr>
            <w:tcW w:w="1311" w:type="dxa"/>
            <w:tcBorders>
              <w:left w:val="nil"/>
              <w:right w:val="nil"/>
            </w:tcBorders>
            <w:shd w:val="clear" w:color="auto" w:fill="D3DFEE"/>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17</w:t>
            </w:r>
          </w:p>
        </w:tc>
      </w:tr>
      <w:tr w:rsidR="00231EE7" w:rsidRPr="00EA1F14" w:rsidTr="00EA1F14">
        <w:trPr>
          <w:trHeight w:val="228"/>
        </w:trPr>
        <w:tc>
          <w:tcPr>
            <w:tcW w:w="1259" w:type="dxa"/>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81 a 90 años</w:t>
            </w:r>
          </w:p>
        </w:tc>
        <w:tc>
          <w:tcPr>
            <w:tcW w:w="2492"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5</w:t>
            </w:r>
          </w:p>
        </w:tc>
        <w:tc>
          <w:tcPr>
            <w:tcW w:w="1311"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8</w:t>
            </w:r>
          </w:p>
        </w:tc>
      </w:tr>
      <w:tr w:rsidR="00231EE7" w:rsidRPr="00EA1F14" w:rsidTr="00EA1F14">
        <w:trPr>
          <w:trHeight w:val="240"/>
        </w:trPr>
        <w:tc>
          <w:tcPr>
            <w:tcW w:w="1259" w:type="dxa"/>
          </w:tcPr>
          <w:p w:rsidR="00231EE7" w:rsidRPr="00EA1F14" w:rsidRDefault="00231EE7" w:rsidP="00231EE7">
            <w:pPr>
              <w:spacing w:after="0" w:line="240" w:lineRule="auto"/>
              <w:jc w:val="both"/>
              <w:rPr>
                <w:rFonts w:ascii="Arial" w:eastAsia="Calibri" w:hAnsi="Arial" w:cs="Arial"/>
                <w:b/>
                <w:bCs/>
                <w:sz w:val="16"/>
                <w:szCs w:val="16"/>
                <w:lang w:val="es-ES"/>
              </w:rPr>
            </w:pPr>
            <w:r w:rsidRPr="00EA1F14">
              <w:rPr>
                <w:rFonts w:ascii="Arial" w:eastAsia="Calibri" w:hAnsi="Arial" w:cs="Arial"/>
                <w:b/>
                <w:bCs/>
                <w:sz w:val="16"/>
                <w:szCs w:val="16"/>
                <w:lang w:val="es-ES"/>
              </w:rPr>
              <w:t>TOTAL</w:t>
            </w:r>
          </w:p>
        </w:tc>
        <w:tc>
          <w:tcPr>
            <w:tcW w:w="2492"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63</w:t>
            </w:r>
          </w:p>
        </w:tc>
        <w:tc>
          <w:tcPr>
            <w:tcW w:w="1311" w:type="dxa"/>
          </w:tcPr>
          <w:p w:rsidR="00231EE7" w:rsidRPr="00EA1F14" w:rsidRDefault="00231EE7" w:rsidP="00231EE7">
            <w:pPr>
              <w:spacing w:after="0" w:line="240" w:lineRule="auto"/>
              <w:jc w:val="both"/>
              <w:rPr>
                <w:rFonts w:ascii="Arial" w:eastAsia="Calibri" w:hAnsi="Arial" w:cs="Arial"/>
                <w:b/>
                <w:sz w:val="16"/>
                <w:szCs w:val="16"/>
                <w:lang w:val="es-ES"/>
              </w:rPr>
            </w:pPr>
            <w:r w:rsidRPr="00EA1F14">
              <w:rPr>
                <w:rFonts w:ascii="Arial" w:eastAsia="Calibri" w:hAnsi="Arial" w:cs="Arial"/>
                <w:b/>
                <w:sz w:val="16"/>
                <w:szCs w:val="16"/>
                <w:lang w:val="es-ES"/>
              </w:rPr>
              <w:t>100</w:t>
            </w:r>
          </w:p>
        </w:tc>
      </w:tr>
    </w:tbl>
    <w:p w:rsidR="00231EE7" w:rsidRPr="00231EE7" w:rsidRDefault="00231EE7" w:rsidP="00231EE7">
      <w:pPr>
        <w:spacing w:after="0" w:line="240" w:lineRule="auto"/>
        <w:jc w:val="both"/>
        <w:rPr>
          <w:rFonts w:ascii="Arial" w:eastAsia="Calibri" w:hAnsi="Arial" w:cs="Arial"/>
          <w:b/>
          <w:sz w:val="20"/>
          <w:szCs w:val="20"/>
          <w:lang w:val="es-ES" w:eastAsia="es-MX"/>
        </w:rPr>
      </w:pPr>
    </w:p>
    <w:p w:rsidR="00231EE7" w:rsidRPr="00231EE7" w:rsidRDefault="00231EE7" w:rsidP="00231EE7">
      <w:pPr>
        <w:spacing w:after="0" w:line="240" w:lineRule="auto"/>
        <w:jc w:val="both"/>
        <w:rPr>
          <w:rFonts w:ascii="Arial" w:eastAsia="Calibri" w:hAnsi="Arial" w:cs="Arial"/>
          <w:sz w:val="20"/>
          <w:szCs w:val="20"/>
          <w:lang w:val="es-ES"/>
        </w:rPr>
      </w:pPr>
      <w:r>
        <w:rPr>
          <w:rFonts w:ascii="Arial" w:eastAsia="Calibri" w:hAnsi="Arial" w:cs="Arial"/>
          <w:noProof/>
          <w:sz w:val="20"/>
          <w:szCs w:val="20"/>
          <w:lang w:eastAsia="es-MX"/>
        </w:rPr>
        <w:drawing>
          <wp:inline distT="0" distB="0" distL="0" distR="0" wp14:anchorId="7FB2E464" wp14:editId="0CF0D34E">
            <wp:extent cx="2092147" cy="1266512"/>
            <wp:effectExtent l="0" t="0" r="381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BEBA8EAE-BF5A-486C-A8C5-ECC9F3942E4B}">
                          <a14:imgProps xmlns:a14="http://schemas.microsoft.com/office/drawing/2010/main">
                            <a14:imgLayer r:embed="rId13">
                              <a14:imgEffect>
                                <a14:colorTemperature colorTemp="7200"/>
                              </a14:imgEffect>
                            </a14:imgLayer>
                          </a14:imgProps>
                        </a:ext>
                        <a:ext uri="{28A0092B-C50C-407E-A947-70E740481C1C}">
                          <a14:useLocalDpi xmlns:a14="http://schemas.microsoft.com/office/drawing/2010/main" val="0"/>
                        </a:ext>
                      </a:extLst>
                    </a:blip>
                    <a:srcRect/>
                    <a:stretch>
                      <a:fillRect/>
                    </a:stretch>
                  </pic:blipFill>
                  <pic:spPr bwMode="auto">
                    <a:xfrm>
                      <a:off x="0" y="0"/>
                      <a:ext cx="2094539" cy="1267960"/>
                    </a:xfrm>
                    <a:prstGeom prst="rect">
                      <a:avLst/>
                    </a:prstGeom>
                    <a:noFill/>
                  </pic:spPr>
                </pic:pic>
              </a:graphicData>
            </a:graphic>
          </wp:inline>
        </w:drawing>
      </w:r>
    </w:p>
    <w:p w:rsidR="00CD0C68" w:rsidRPr="00231EE7" w:rsidRDefault="00CD0C68" w:rsidP="00231EE7">
      <w:pPr>
        <w:spacing w:after="0" w:line="240" w:lineRule="auto"/>
        <w:jc w:val="both"/>
        <w:rPr>
          <w:rFonts w:ascii="Arial" w:eastAsia="Calibri" w:hAnsi="Arial" w:cs="Arial"/>
          <w:sz w:val="20"/>
          <w:szCs w:val="20"/>
          <w:lang w:val="es-ES"/>
        </w:rPr>
      </w:pPr>
    </w:p>
    <w:p w:rsidR="00EA1F14" w:rsidRDefault="00CD0C68" w:rsidP="00EA1F14">
      <w:pPr>
        <w:spacing w:after="0" w:line="240" w:lineRule="auto"/>
        <w:jc w:val="both"/>
        <w:rPr>
          <w:rFonts w:ascii="Arial" w:eastAsia="Calibri" w:hAnsi="Arial" w:cs="Arial"/>
          <w:bCs/>
          <w:sz w:val="20"/>
          <w:szCs w:val="20"/>
          <w:lang w:val="es-ES" w:eastAsia="es-MX"/>
        </w:rPr>
      </w:pPr>
      <w:r w:rsidRPr="00CD0C68">
        <w:rPr>
          <w:rFonts w:ascii="Arial" w:eastAsia="Calibri" w:hAnsi="Arial" w:cs="Arial"/>
          <w:b/>
          <w:sz w:val="20"/>
          <w:szCs w:val="20"/>
          <w:lang w:eastAsia="es-MX"/>
        </w:rPr>
        <w:t>GRÁFICO No 5.</w:t>
      </w:r>
      <w:r w:rsidR="00EA1F14" w:rsidRPr="00EA1F14">
        <w:rPr>
          <w:rFonts w:ascii="Arial" w:eastAsia="Calibri" w:hAnsi="Arial" w:cs="Times New Roman"/>
          <w:b/>
          <w:bCs/>
          <w:color w:val="130448"/>
          <w:sz w:val="24"/>
          <w:szCs w:val="24"/>
          <w:lang w:val="es-ES"/>
        </w:rPr>
        <w:t xml:space="preserve"> </w:t>
      </w:r>
      <w:r w:rsidR="00EA1F14" w:rsidRPr="00EA1F14">
        <w:rPr>
          <w:rFonts w:ascii="Arial" w:eastAsia="Calibri" w:hAnsi="Arial" w:cs="Arial"/>
          <w:b/>
          <w:bCs/>
          <w:sz w:val="20"/>
          <w:szCs w:val="20"/>
          <w:lang w:val="es-ES" w:eastAsia="es-MX"/>
        </w:rPr>
        <w:t>Porcentaje de Pacientes con Antecedente Genético y PSA elevado.</w:t>
      </w:r>
      <w:r w:rsidR="00EA1F14" w:rsidRPr="00EA1F14">
        <w:rPr>
          <w:rFonts w:ascii="Arial" w:eastAsia="Calibri" w:hAnsi="Arial" w:cs="Times New Roman"/>
          <w:bCs/>
          <w:color w:val="262626"/>
          <w:szCs w:val="24"/>
          <w:lang w:val="es-ES"/>
        </w:rPr>
        <w:t xml:space="preserve"> </w:t>
      </w:r>
      <w:r w:rsidR="00EA1F14" w:rsidRPr="00EA1F14">
        <w:rPr>
          <w:rFonts w:ascii="Arial" w:eastAsia="Calibri" w:hAnsi="Arial" w:cs="Arial"/>
          <w:bCs/>
          <w:sz w:val="20"/>
          <w:szCs w:val="20"/>
          <w:lang w:val="es-ES" w:eastAsia="es-MX"/>
        </w:rPr>
        <w:t xml:space="preserve">De la población que mostró concentraciones superiores a los 4 </w:t>
      </w:r>
      <w:proofErr w:type="spellStart"/>
      <w:r w:rsidR="00EA1F14" w:rsidRPr="00EA1F14">
        <w:rPr>
          <w:rFonts w:ascii="Arial" w:eastAsia="Calibri" w:hAnsi="Arial" w:cs="Arial"/>
          <w:bCs/>
          <w:sz w:val="20"/>
          <w:szCs w:val="20"/>
          <w:lang w:val="es-ES" w:eastAsia="es-MX"/>
        </w:rPr>
        <w:t>ng</w:t>
      </w:r>
      <w:proofErr w:type="spellEnd"/>
      <w:r w:rsidR="00EA1F14" w:rsidRPr="00EA1F14">
        <w:rPr>
          <w:rFonts w:ascii="Arial" w:eastAsia="Calibri" w:hAnsi="Arial" w:cs="Arial"/>
          <w:bCs/>
          <w:sz w:val="20"/>
          <w:szCs w:val="20"/>
          <w:lang w:val="es-ES" w:eastAsia="es-MX"/>
        </w:rPr>
        <w:t>/</w:t>
      </w:r>
      <w:proofErr w:type="spellStart"/>
      <w:r w:rsidR="00EA1F14" w:rsidRPr="00EA1F14">
        <w:rPr>
          <w:rFonts w:ascii="Arial" w:eastAsia="Calibri" w:hAnsi="Arial" w:cs="Arial"/>
          <w:bCs/>
          <w:sz w:val="20"/>
          <w:szCs w:val="20"/>
          <w:lang w:val="es-ES" w:eastAsia="es-MX"/>
        </w:rPr>
        <w:t>dL</w:t>
      </w:r>
      <w:proofErr w:type="spellEnd"/>
      <w:r w:rsidR="00EA1F14" w:rsidRPr="00EA1F14">
        <w:rPr>
          <w:rFonts w:ascii="Arial" w:eastAsia="Calibri" w:hAnsi="Arial" w:cs="Arial"/>
          <w:bCs/>
          <w:sz w:val="20"/>
          <w:szCs w:val="20"/>
          <w:lang w:val="es-ES" w:eastAsia="es-MX"/>
        </w:rPr>
        <w:t xml:space="preserve"> (63 pacientes), con relación al antecedente genético, el 76% (15) afirmó  tenerlo.</w:t>
      </w:r>
    </w:p>
    <w:p w:rsidR="00180237" w:rsidRPr="00EA1F14" w:rsidRDefault="00180237" w:rsidP="00EA1F14">
      <w:pPr>
        <w:spacing w:after="0" w:line="240" w:lineRule="auto"/>
        <w:jc w:val="both"/>
        <w:rPr>
          <w:rFonts w:ascii="Arial" w:eastAsia="Calibri" w:hAnsi="Arial" w:cs="Arial"/>
          <w:bCs/>
          <w:sz w:val="20"/>
          <w:szCs w:val="20"/>
          <w:lang w:val="es-ES" w:eastAsia="es-MX"/>
        </w:rPr>
      </w:pPr>
    </w:p>
    <w:tbl>
      <w:tblPr>
        <w:tblpPr w:leftFromText="141" w:rightFromText="141" w:vertAnchor="text" w:horzAnchor="page" w:tblpX="4835" w:tblpY="541"/>
        <w:tblW w:w="0" w:type="auto"/>
        <w:tblBorders>
          <w:top w:val="single" w:sz="8" w:space="0" w:color="4F81BD"/>
          <w:bottom w:val="single" w:sz="8" w:space="0" w:color="4F81BD"/>
        </w:tblBorders>
        <w:tblLook w:val="04A0" w:firstRow="1" w:lastRow="0" w:firstColumn="1" w:lastColumn="0" w:noHBand="0" w:noVBand="1"/>
      </w:tblPr>
      <w:tblGrid>
        <w:gridCol w:w="1577"/>
        <w:gridCol w:w="1571"/>
        <w:gridCol w:w="1574"/>
      </w:tblGrid>
      <w:tr w:rsidR="00EA1F14" w:rsidRPr="00EA1F14" w:rsidTr="00EA1F14">
        <w:trPr>
          <w:trHeight w:val="250"/>
        </w:trPr>
        <w:tc>
          <w:tcPr>
            <w:tcW w:w="1577" w:type="dxa"/>
            <w:tcBorders>
              <w:top w:val="single" w:sz="8" w:space="0" w:color="4F81BD"/>
              <w:left w:val="nil"/>
              <w:bottom w:val="single" w:sz="8" w:space="0" w:color="4F81BD"/>
              <w:right w:val="nil"/>
            </w:tcBorders>
          </w:tcPr>
          <w:p w:rsidR="00EA1F14" w:rsidRPr="00EA1F14" w:rsidRDefault="00EA1F14" w:rsidP="00EA1F14">
            <w:pPr>
              <w:spacing w:after="0" w:line="240" w:lineRule="auto"/>
              <w:jc w:val="both"/>
              <w:rPr>
                <w:rFonts w:ascii="Arial" w:eastAsia="Calibri" w:hAnsi="Arial" w:cs="Arial"/>
                <w:b/>
                <w:sz w:val="16"/>
                <w:szCs w:val="16"/>
                <w:lang w:val="es-ES" w:eastAsia="es-MX"/>
              </w:rPr>
            </w:pPr>
            <w:r w:rsidRPr="00EA1F14">
              <w:rPr>
                <w:rFonts w:ascii="Arial" w:eastAsia="Calibri" w:hAnsi="Arial" w:cs="Arial"/>
                <w:b/>
                <w:sz w:val="16"/>
                <w:szCs w:val="16"/>
                <w:lang w:val="es-ES" w:eastAsia="es-MX"/>
              </w:rPr>
              <w:t>Factor Genético</w:t>
            </w:r>
          </w:p>
        </w:tc>
        <w:tc>
          <w:tcPr>
            <w:tcW w:w="1571" w:type="dxa"/>
            <w:tcBorders>
              <w:top w:val="single" w:sz="8" w:space="0" w:color="4F81BD"/>
              <w:left w:val="nil"/>
              <w:bottom w:val="single" w:sz="8" w:space="0" w:color="4F81BD"/>
              <w:right w:val="nil"/>
            </w:tcBorders>
          </w:tcPr>
          <w:p w:rsidR="00EA1F14" w:rsidRPr="00EA1F14" w:rsidRDefault="00EA1F14" w:rsidP="00EA1F14">
            <w:pPr>
              <w:spacing w:after="0" w:line="240" w:lineRule="auto"/>
              <w:jc w:val="both"/>
              <w:rPr>
                <w:rFonts w:ascii="Arial" w:eastAsia="Calibri" w:hAnsi="Arial" w:cs="Arial"/>
                <w:b/>
                <w:sz w:val="16"/>
                <w:szCs w:val="16"/>
                <w:lang w:val="es-ES" w:eastAsia="es-MX"/>
              </w:rPr>
            </w:pPr>
            <w:r w:rsidRPr="00EA1F14">
              <w:rPr>
                <w:rFonts w:ascii="Arial" w:eastAsia="Calibri" w:hAnsi="Arial" w:cs="Arial"/>
                <w:b/>
                <w:sz w:val="16"/>
                <w:szCs w:val="16"/>
                <w:lang w:val="es-ES" w:eastAsia="es-MX"/>
              </w:rPr>
              <w:t>Pacientes</w:t>
            </w:r>
          </w:p>
        </w:tc>
        <w:tc>
          <w:tcPr>
            <w:tcW w:w="1574" w:type="dxa"/>
            <w:tcBorders>
              <w:top w:val="single" w:sz="8" w:space="0" w:color="4F81BD"/>
              <w:left w:val="nil"/>
              <w:bottom w:val="single" w:sz="8" w:space="0" w:color="4F81BD"/>
              <w:right w:val="nil"/>
            </w:tcBorders>
          </w:tcPr>
          <w:p w:rsidR="00EA1F14" w:rsidRPr="00EA1F14" w:rsidRDefault="00EA1F14" w:rsidP="00EA1F14">
            <w:pPr>
              <w:spacing w:after="0" w:line="240" w:lineRule="auto"/>
              <w:jc w:val="both"/>
              <w:rPr>
                <w:rFonts w:ascii="Arial" w:eastAsia="Calibri" w:hAnsi="Arial" w:cs="Arial"/>
                <w:b/>
                <w:sz w:val="16"/>
                <w:szCs w:val="16"/>
                <w:lang w:val="es-ES" w:eastAsia="es-MX"/>
              </w:rPr>
            </w:pPr>
            <w:r w:rsidRPr="00EA1F14">
              <w:rPr>
                <w:rFonts w:ascii="Arial" w:eastAsia="Calibri" w:hAnsi="Arial" w:cs="Arial"/>
                <w:b/>
                <w:sz w:val="16"/>
                <w:szCs w:val="16"/>
                <w:lang w:val="es-ES" w:eastAsia="es-MX"/>
              </w:rPr>
              <w:t>Porcentaje %</w:t>
            </w:r>
          </w:p>
        </w:tc>
      </w:tr>
      <w:tr w:rsidR="00EA1F14" w:rsidRPr="00EA1F14" w:rsidTr="00EA1F14">
        <w:trPr>
          <w:trHeight w:val="238"/>
        </w:trPr>
        <w:tc>
          <w:tcPr>
            <w:tcW w:w="1577" w:type="dxa"/>
            <w:tcBorders>
              <w:left w:val="nil"/>
              <w:right w:val="nil"/>
            </w:tcBorders>
            <w:shd w:val="clear" w:color="auto" w:fill="D3DFEE"/>
          </w:tcPr>
          <w:p w:rsidR="00EA1F14" w:rsidRPr="00EA1F14" w:rsidRDefault="00EA1F14" w:rsidP="00EA1F14">
            <w:pPr>
              <w:spacing w:after="0" w:line="240" w:lineRule="auto"/>
              <w:jc w:val="both"/>
              <w:rPr>
                <w:rFonts w:ascii="Arial" w:eastAsia="Calibri" w:hAnsi="Arial" w:cs="Arial"/>
                <w:b/>
                <w:sz w:val="16"/>
                <w:szCs w:val="16"/>
                <w:lang w:val="es-ES" w:eastAsia="es-MX"/>
              </w:rPr>
            </w:pPr>
            <w:r w:rsidRPr="00EA1F14">
              <w:rPr>
                <w:rFonts w:ascii="Arial" w:eastAsia="Calibri" w:hAnsi="Arial" w:cs="Arial"/>
                <w:b/>
                <w:sz w:val="16"/>
                <w:szCs w:val="16"/>
                <w:lang w:val="es-ES" w:eastAsia="es-MX"/>
              </w:rPr>
              <w:t>Con Antecedente</w:t>
            </w:r>
          </w:p>
        </w:tc>
        <w:tc>
          <w:tcPr>
            <w:tcW w:w="1571" w:type="dxa"/>
            <w:tcBorders>
              <w:left w:val="nil"/>
              <w:right w:val="nil"/>
            </w:tcBorders>
            <w:shd w:val="clear" w:color="auto" w:fill="D3DFEE"/>
          </w:tcPr>
          <w:p w:rsidR="00EA1F14" w:rsidRPr="00EA1F14" w:rsidRDefault="00EA1F14" w:rsidP="00EA1F14">
            <w:pPr>
              <w:spacing w:after="0" w:line="240" w:lineRule="auto"/>
              <w:jc w:val="both"/>
              <w:rPr>
                <w:rFonts w:ascii="Arial" w:eastAsia="Calibri" w:hAnsi="Arial" w:cs="Arial"/>
                <w:b/>
                <w:bCs/>
                <w:sz w:val="16"/>
                <w:szCs w:val="16"/>
                <w:lang w:val="es-ES" w:eastAsia="es-MX"/>
              </w:rPr>
            </w:pPr>
            <w:r w:rsidRPr="00EA1F14">
              <w:rPr>
                <w:rFonts w:ascii="Arial" w:eastAsia="Calibri" w:hAnsi="Arial" w:cs="Arial"/>
                <w:b/>
                <w:bCs/>
                <w:sz w:val="16"/>
                <w:szCs w:val="16"/>
                <w:lang w:val="es-ES" w:eastAsia="es-MX"/>
              </w:rPr>
              <w:t>15</w:t>
            </w:r>
          </w:p>
        </w:tc>
        <w:tc>
          <w:tcPr>
            <w:tcW w:w="1574" w:type="dxa"/>
            <w:tcBorders>
              <w:left w:val="nil"/>
              <w:right w:val="nil"/>
            </w:tcBorders>
            <w:shd w:val="clear" w:color="auto" w:fill="D3DFEE"/>
          </w:tcPr>
          <w:p w:rsidR="00EA1F14" w:rsidRPr="00EA1F14" w:rsidRDefault="00EA1F14" w:rsidP="00EA1F14">
            <w:pPr>
              <w:spacing w:after="0" w:line="240" w:lineRule="auto"/>
              <w:jc w:val="both"/>
              <w:rPr>
                <w:rFonts w:ascii="Arial" w:eastAsia="Calibri" w:hAnsi="Arial" w:cs="Arial"/>
                <w:b/>
                <w:bCs/>
                <w:sz w:val="16"/>
                <w:szCs w:val="16"/>
                <w:lang w:val="es-ES" w:eastAsia="es-MX"/>
              </w:rPr>
            </w:pPr>
            <w:r w:rsidRPr="00EA1F14">
              <w:rPr>
                <w:rFonts w:ascii="Arial" w:eastAsia="Calibri" w:hAnsi="Arial" w:cs="Arial"/>
                <w:b/>
                <w:bCs/>
                <w:sz w:val="16"/>
                <w:szCs w:val="16"/>
                <w:lang w:val="es-ES" w:eastAsia="es-MX"/>
              </w:rPr>
              <w:t>76</w:t>
            </w:r>
          </w:p>
        </w:tc>
      </w:tr>
      <w:tr w:rsidR="00EA1F14" w:rsidRPr="00EA1F14" w:rsidTr="00EA1F14">
        <w:trPr>
          <w:trHeight w:val="149"/>
        </w:trPr>
        <w:tc>
          <w:tcPr>
            <w:tcW w:w="1577" w:type="dxa"/>
          </w:tcPr>
          <w:p w:rsidR="00EA1F14" w:rsidRPr="00EA1F14" w:rsidRDefault="00EA1F14" w:rsidP="00EA1F14">
            <w:pPr>
              <w:spacing w:after="0" w:line="240" w:lineRule="auto"/>
              <w:jc w:val="both"/>
              <w:rPr>
                <w:rFonts w:ascii="Arial" w:eastAsia="Calibri" w:hAnsi="Arial" w:cs="Arial"/>
                <w:b/>
                <w:sz w:val="16"/>
                <w:szCs w:val="16"/>
                <w:lang w:val="es-ES" w:eastAsia="es-MX"/>
              </w:rPr>
            </w:pPr>
            <w:r w:rsidRPr="00EA1F14">
              <w:rPr>
                <w:rFonts w:ascii="Arial" w:eastAsia="Calibri" w:hAnsi="Arial" w:cs="Arial"/>
                <w:b/>
                <w:sz w:val="16"/>
                <w:szCs w:val="16"/>
                <w:lang w:val="es-ES" w:eastAsia="es-MX"/>
              </w:rPr>
              <w:t>Sin Antecedente</w:t>
            </w:r>
          </w:p>
        </w:tc>
        <w:tc>
          <w:tcPr>
            <w:tcW w:w="1571" w:type="dxa"/>
          </w:tcPr>
          <w:p w:rsidR="00EA1F14" w:rsidRPr="00EA1F14" w:rsidRDefault="00EA1F14" w:rsidP="00EA1F14">
            <w:pPr>
              <w:spacing w:after="0" w:line="240" w:lineRule="auto"/>
              <w:jc w:val="both"/>
              <w:rPr>
                <w:rFonts w:ascii="Arial" w:eastAsia="Calibri" w:hAnsi="Arial" w:cs="Arial"/>
                <w:b/>
                <w:bCs/>
                <w:sz w:val="16"/>
                <w:szCs w:val="16"/>
                <w:lang w:val="es-ES" w:eastAsia="es-MX"/>
              </w:rPr>
            </w:pPr>
            <w:r w:rsidRPr="00EA1F14">
              <w:rPr>
                <w:rFonts w:ascii="Arial" w:eastAsia="Calibri" w:hAnsi="Arial" w:cs="Arial"/>
                <w:b/>
                <w:bCs/>
                <w:sz w:val="16"/>
                <w:szCs w:val="16"/>
                <w:lang w:val="es-ES" w:eastAsia="es-MX"/>
              </w:rPr>
              <w:t>48</w:t>
            </w:r>
          </w:p>
        </w:tc>
        <w:tc>
          <w:tcPr>
            <w:tcW w:w="1574" w:type="dxa"/>
          </w:tcPr>
          <w:p w:rsidR="00EA1F14" w:rsidRPr="00EA1F14" w:rsidRDefault="00EA1F14" w:rsidP="00EA1F14">
            <w:pPr>
              <w:spacing w:after="0" w:line="240" w:lineRule="auto"/>
              <w:jc w:val="both"/>
              <w:rPr>
                <w:rFonts w:ascii="Arial" w:eastAsia="Calibri" w:hAnsi="Arial" w:cs="Arial"/>
                <w:b/>
                <w:bCs/>
                <w:sz w:val="16"/>
                <w:szCs w:val="16"/>
                <w:lang w:val="es-ES" w:eastAsia="es-MX"/>
              </w:rPr>
            </w:pPr>
            <w:r w:rsidRPr="00EA1F14">
              <w:rPr>
                <w:rFonts w:ascii="Arial" w:eastAsia="Calibri" w:hAnsi="Arial" w:cs="Arial"/>
                <w:b/>
                <w:bCs/>
                <w:sz w:val="16"/>
                <w:szCs w:val="16"/>
                <w:lang w:val="es-ES" w:eastAsia="es-MX"/>
              </w:rPr>
              <w:t>24</w:t>
            </w:r>
          </w:p>
        </w:tc>
      </w:tr>
      <w:tr w:rsidR="00EA1F14" w:rsidRPr="00EA1F14" w:rsidTr="00EA1F14">
        <w:trPr>
          <w:trHeight w:val="149"/>
        </w:trPr>
        <w:tc>
          <w:tcPr>
            <w:tcW w:w="1577" w:type="dxa"/>
          </w:tcPr>
          <w:p w:rsidR="00EA1F14" w:rsidRPr="00EA1F14" w:rsidRDefault="00EA1F14" w:rsidP="00EA1F14">
            <w:pPr>
              <w:spacing w:after="0" w:line="240" w:lineRule="auto"/>
              <w:jc w:val="both"/>
              <w:rPr>
                <w:rFonts w:ascii="Arial" w:eastAsia="Calibri" w:hAnsi="Arial" w:cs="Arial"/>
                <w:b/>
                <w:sz w:val="16"/>
                <w:szCs w:val="16"/>
                <w:lang w:val="es-ES" w:eastAsia="es-MX"/>
              </w:rPr>
            </w:pPr>
            <w:r w:rsidRPr="00EA1F14">
              <w:rPr>
                <w:rFonts w:ascii="Arial" w:eastAsia="Calibri" w:hAnsi="Arial" w:cs="Arial"/>
                <w:b/>
                <w:sz w:val="16"/>
                <w:szCs w:val="16"/>
                <w:lang w:val="es-ES" w:eastAsia="es-MX"/>
              </w:rPr>
              <w:t>TOTAL</w:t>
            </w:r>
          </w:p>
        </w:tc>
        <w:tc>
          <w:tcPr>
            <w:tcW w:w="1571" w:type="dxa"/>
          </w:tcPr>
          <w:p w:rsidR="00EA1F14" w:rsidRPr="00EA1F14" w:rsidRDefault="00EA1F14" w:rsidP="00EA1F14">
            <w:pPr>
              <w:spacing w:after="0" w:line="240" w:lineRule="auto"/>
              <w:jc w:val="both"/>
              <w:rPr>
                <w:rFonts w:ascii="Arial" w:eastAsia="Calibri" w:hAnsi="Arial" w:cs="Arial"/>
                <w:b/>
                <w:bCs/>
                <w:sz w:val="16"/>
                <w:szCs w:val="16"/>
                <w:lang w:val="es-ES" w:eastAsia="es-MX"/>
              </w:rPr>
            </w:pPr>
            <w:r w:rsidRPr="00EA1F14">
              <w:rPr>
                <w:rFonts w:ascii="Arial" w:eastAsia="Calibri" w:hAnsi="Arial" w:cs="Arial"/>
                <w:b/>
                <w:bCs/>
                <w:sz w:val="16"/>
                <w:szCs w:val="16"/>
                <w:lang w:val="es-ES" w:eastAsia="es-MX"/>
              </w:rPr>
              <w:t>63</w:t>
            </w:r>
          </w:p>
        </w:tc>
        <w:tc>
          <w:tcPr>
            <w:tcW w:w="1574" w:type="dxa"/>
          </w:tcPr>
          <w:p w:rsidR="00EA1F14" w:rsidRPr="00EA1F14" w:rsidRDefault="00EA1F14" w:rsidP="00EA1F14">
            <w:pPr>
              <w:spacing w:after="0" w:line="240" w:lineRule="auto"/>
              <w:jc w:val="both"/>
              <w:rPr>
                <w:rFonts w:ascii="Arial" w:eastAsia="Calibri" w:hAnsi="Arial" w:cs="Arial"/>
                <w:b/>
                <w:bCs/>
                <w:sz w:val="16"/>
                <w:szCs w:val="16"/>
                <w:lang w:val="es-ES" w:eastAsia="es-MX"/>
              </w:rPr>
            </w:pPr>
            <w:r w:rsidRPr="00EA1F14">
              <w:rPr>
                <w:rFonts w:ascii="Arial" w:eastAsia="Calibri" w:hAnsi="Arial" w:cs="Arial"/>
                <w:b/>
                <w:bCs/>
                <w:sz w:val="16"/>
                <w:szCs w:val="16"/>
                <w:lang w:val="es-ES" w:eastAsia="es-MX"/>
              </w:rPr>
              <w:t>100</w:t>
            </w:r>
          </w:p>
        </w:tc>
      </w:tr>
    </w:tbl>
    <w:p w:rsidR="00EA1F14" w:rsidRDefault="00EA1F14" w:rsidP="00EA1F14">
      <w:pPr>
        <w:spacing w:after="0" w:line="240" w:lineRule="auto"/>
        <w:jc w:val="both"/>
        <w:rPr>
          <w:rFonts w:ascii="Arial" w:eastAsia="Calibri" w:hAnsi="Arial" w:cs="Arial"/>
          <w:sz w:val="20"/>
          <w:szCs w:val="20"/>
          <w:lang w:eastAsia="es-MX"/>
        </w:rPr>
      </w:pPr>
      <w:r>
        <w:rPr>
          <w:rFonts w:ascii="Arial" w:eastAsia="Calibri" w:hAnsi="Arial" w:cs="Arial"/>
          <w:noProof/>
          <w:sz w:val="20"/>
          <w:szCs w:val="20"/>
          <w:lang w:eastAsia="es-MX"/>
        </w:rPr>
        <w:drawing>
          <wp:inline distT="0" distB="0" distL="0" distR="0" wp14:anchorId="7AE01301" wp14:editId="01461044">
            <wp:extent cx="1777593" cy="1218210"/>
            <wp:effectExtent l="0" t="0" r="0" b="127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4400" cy="1222875"/>
                    </a:xfrm>
                    <a:prstGeom prst="rect">
                      <a:avLst/>
                    </a:prstGeom>
                    <a:noFill/>
                  </pic:spPr>
                </pic:pic>
              </a:graphicData>
            </a:graphic>
          </wp:inline>
        </w:drawing>
      </w:r>
    </w:p>
    <w:p w:rsidR="00EA1F14" w:rsidRDefault="00EA1F14" w:rsidP="00EA1F14">
      <w:pPr>
        <w:spacing w:after="0" w:line="240" w:lineRule="auto"/>
        <w:jc w:val="both"/>
        <w:rPr>
          <w:rFonts w:ascii="Arial" w:eastAsia="Calibri" w:hAnsi="Arial" w:cs="Arial"/>
          <w:sz w:val="20"/>
          <w:szCs w:val="20"/>
          <w:lang w:eastAsia="es-MX"/>
        </w:rPr>
      </w:pPr>
    </w:p>
    <w:p w:rsidR="00EA1F14" w:rsidRPr="00EA1F14" w:rsidRDefault="00CD0C68" w:rsidP="00EA1F14">
      <w:pPr>
        <w:spacing w:after="0" w:line="240" w:lineRule="auto"/>
        <w:jc w:val="both"/>
        <w:rPr>
          <w:rFonts w:ascii="Arial" w:eastAsia="Calibri" w:hAnsi="Arial" w:cs="Arial"/>
          <w:sz w:val="20"/>
          <w:szCs w:val="20"/>
          <w:lang w:eastAsia="es-MX"/>
        </w:rPr>
      </w:pPr>
      <w:r w:rsidRPr="00CD0C68">
        <w:rPr>
          <w:rFonts w:ascii="Arial" w:eastAsia="Calibri" w:hAnsi="Arial" w:cs="Arial"/>
          <w:b/>
          <w:sz w:val="20"/>
          <w:szCs w:val="20"/>
          <w:lang w:eastAsia="es-MX"/>
        </w:rPr>
        <w:t>GRÁFICO No 6.</w:t>
      </w:r>
      <w:r w:rsidRPr="00CD0C68">
        <w:rPr>
          <w:rFonts w:ascii="Arial" w:eastAsia="Times New Roman" w:hAnsi="Arial" w:cs="Arial"/>
          <w:b/>
          <w:sz w:val="28"/>
          <w:szCs w:val="28"/>
        </w:rPr>
        <w:t xml:space="preserve"> </w:t>
      </w:r>
      <w:r w:rsidR="00EA1F14" w:rsidRPr="00EA1F14">
        <w:rPr>
          <w:rFonts w:ascii="Arial" w:eastAsia="Calibri" w:hAnsi="Arial" w:cs="Arial"/>
          <w:b/>
          <w:sz w:val="20"/>
          <w:szCs w:val="20"/>
          <w:lang w:eastAsia="es-MX"/>
        </w:rPr>
        <w:t>Distribución de pacientes con elevado PSA con relación al factor fumar.</w:t>
      </w:r>
      <w:r w:rsidR="00EA1F14" w:rsidRPr="00EA1F14">
        <w:t xml:space="preserve"> </w:t>
      </w:r>
      <w:r w:rsidR="00EA1F14" w:rsidRPr="00EA1F14">
        <w:rPr>
          <w:rFonts w:ascii="Arial" w:eastAsia="Calibri" w:hAnsi="Arial" w:cs="Arial"/>
          <w:sz w:val="20"/>
          <w:szCs w:val="20"/>
          <w:lang w:eastAsia="es-MX"/>
        </w:rPr>
        <w:t xml:space="preserve">Del total de los 63 pacientes (21%) que tenían el PSA superior a 4 </w:t>
      </w:r>
      <w:proofErr w:type="spellStart"/>
      <w:r w:rsidR="00EA1F14" w:rsidRPr="00EA1F14">
        <w:rPr>
          <w:rFonts w:ascii="Arial" w:eastAsia="Calibri" w:hAnsi="Arial" w:cs="Arial"/>
          <w:sz w:val="20"/>
          <w:szCs w:val="20"/>
          <w:lang w:eastAsia="es-MX"/>
        </w:rPr>
        <w:t>ng</w:t>
      </w:r>
      <w:proofErr w:type="spellEnd"/>
      <w:r w:rsidR="00EA1F14" w:rsidRPr="00EA1F14">
        <w:rPr>
          <w:rFonts w:ascii="Arial" w:eastAsia="Calibri" w:hAnsi="Arial" w:cs="Arial"/>
          <w:sz w:val="20"/>
          <w:szCs w:val="20"/>
          <w:lang w:eastAsia="es-MX"/>
        </w:rPr>
        <w:t>/</w:t>
      </w:r>
      <w:proofErr w:type="spellStart"/>
      <w:r w:rsidR="00EA1F14" w:rsidRPr="00EA1F14">
        <w:rPr>
          <w:rFonts w:ascii="Arial" w:eastAsia="Calibri" w:hAnsi="Arial" w:cs="Arial"/>
          <w:sz w:val="20"/>
          <w:szCs w:val="20"/>
          <w:lang w:eastAsia="es-MX"/>
        </w:rPr>
        <w:t>dL</w:t>
      </w:r>
      <w:proofErr w:type="spellEnd"/>
      <w:r w:rsidR="00EA1F14" w:rsidRPr="00EA1F14">
        <w:rPr>
          <w:rFonts w:ascii="Arial" w:eastAsia="Calibri" w:hAnsi="Arial" w:cs="Arial"/>
          <w:sz w:val="20"/>
          <w:szCs w:val="20"/>
          <w:lang w:eastAsia="es-MX"/>
        </w:rPr>
        <w:t>, se encontró que el 84% son o fueron fumadores.</w:t>
      </w:r>
    </w:p>
    <w:tbl>
      <w:tblPr>
        <w:tblpPr w:leftFromText="141" w:rightFromText="141" w:vertAnchor="text" w:horzAnchor="page" w:tblpX="5077" w:tblpY="280"/>
        <w:tblW w:w="4679" w:type="dxa"/>
        <w:tblBorders>
          <w:top w:val="single" w:sz="8" w:space="0" w:color="4F81BD"/>
          <w:bottom w:val="single" w:sz="8" w:space="0" w:color="4F81BD"/>
        </w:tblBorders>
        <w:tblLook w:val="04A0" w:firstRow="1" w:lastRow="0" w:firstColumn="1" w:lastColumn="0" w:noHBand="0" w:noVBand="1"/>
      </w:tblPr>
      <w:tblGrid>
        <w:gridCol w:w="1848"/>
        <w:gridCol w:w="989"/>
        <w:gridCol w:w="1842"/>
      </w:tblGrid>
      <w:tr w:rsidR="00847000" w:rsidRPr="00EA1F14" w:rsidTr="00847000">
        <w:trPr>
          <w:trHeight w:val="253"/>
        </w:trPr>
        <w:tc>
          <w:tcPr>
            <w:tcW w:w="1848" w:type="dxa"/>
            <w:tcBorders>
              <w:top w:val="single" w:sz="8" w:space="0" w:color="4F81BD"/>
              <w:left w:val="nil"/>
              <w:bottom w:val="single" w:sz="8" w:space="0" w:color="4F81BD"/>
              <w:right w:val="nil"/>
            </w:tcBorders>
            <w:noWrap/>
          </w:tcPr>
          <w:p w:rsidR="00847000" w:rsidRPr="00EA1F14" w:rsidRDefault="00847000" w:rsidP="00847000">
            <w:pPr>
              <w:spacing w:after="0" w:line="240" w:lineRule="auto"/>
              <w:jc w:val="center"/>
              <w:rPr>
                <w:rFonts w:ascii="Arial" w:eastAsia="Times New Roman" w:hAnsi="Arial" w:cs="Arial"/>
                <w:b/>
                <w:bCs/>
                <w:sz w:val="16"/>
                <w:szCs w:val="16"/>
                <w:lang w:val="es-ES" w:eastAsia="es-ES"/>
              </w:rPr>
            </w:pPr>
            <w:r w:rsidRPr="00EA1F14">
              <w:rPr>
                <w:rFonts w:ascii="Arial" w:eastAsia="Times New Roman" w:hAnsi="Arial" w:cs="Arial"/>
                <w:b/>
                <w:bCs/>
                <w:sz w:val="16"/>
                <w:szCs w:val="16"/>
                <w:lang w:val="es-ES" w:eastAsia="es-ES"/>
              </w:rPr>
              <w:t>Factor</w:t>
            </w:r>
          </w:p>
        </w:tc>
        <w:tc>
          <w:tcPr>
            <w:tcW w:w="989" w:type="dxa"/>
            <w:tcBorders>
              <w:top w:val="single" w:sz="8" w:space="0" w:color="4F81BD"/>
              <w:left w:val="nil"/>
              <w:bottom w:val="single" w:sz="8" w:space="0" w:color="4F81BD"/>
              <w:right w:val="nil"/>
            </w:tcBorders>
            <w:noWrap/>
          </w:tcPr>
          <w:p w:rsidR="00847000" w:rsidRPr="00EA1F14" w:rsidRDefault="00847000" w:rsidP="00847000">
            <w:pPr>
              <w:spacing w:after="0" w:line="240" w:lineRule="auto"/>
              <w:jc w:val="center"/>
              <w:rPr>
                <w:rFonts w:ascii="Arial" w:eastAsia="Times New Roman" w:hAnsi="Arial" w:cs="Arial"/>
                <w:b/>
                <w:bCs/>
                <w:sz w:val="16"/>
                <w:szCs w:val="16"/>
                <w:lang w:val="es-ES" w:eastAsia="es-ES"/>
              </w:rPr>
            </w:pPr>
            <w:r w:rsidRPr="00EA1F14">
              <w:rPr>
                <w:rFonts w:ascii="Arial" w:eastAsia="Times New Roman" w:hAnsi="Arial" w:cs="Arial"/>
                <w:b/>
                <w:bCs/>
                <w:sz w:val="16"/>
                <w:szCs w:val="16"/>
                <w:lang w:val="es-ES" w:eastAsia="es-ES"/>
              </w:rPr>
              <w:t>Pacientes</w:t>
            </w:r>
          </w:p>
        </w:tc>
        <w:tc>
          <w:tcPr>
            <w:tcW w:w="1842" w:type="dxa"/>
            <w:tcBorders>
              <w:top w:val="single" w:sz="8" w:space="0" w:color="4F81BD"/>
              <w:left w:val="nil"/>
              <w:bottom w:val="single" w:sz="8" w:space="0" w:color="4F81BD"/>
              <w:right w:val="nil"/>
            </w:tcBorders>
          </w:tcPr>
          <w:p w:rsidR="00847000" w:rsidRPr="00EA1F14" w:rsidRDefault="00847000" w:rsidP="00847000">
            <w:pPr>
              <w:spacing w:after="0" w:line="240" w:lineRule="auto"/>
              <w:jc w:val="center"/>
              <w:rPr>
                <w:rFonts w:ascii="Arial" w:eastAsia="Times New Roman" w:hAnsi="Arial" w:cs="Arial"/>
                <w:b/>
                <w:bCs/>
                <w:sz w:val="16"/>
                <w:szCs w:val="16"/>
                <w:lang w:val="es-ES" w:eastAsia="es-ES"/>
              </w:rPr>
            </w:pPr>
            <w:r w:rsidRPr="00EA1F14">
              <w:rPr>
                <w:rFonts w:ascii="Arial" w:eastAsia="Times New Roman" w:hAnsi="Arial" w:cs="Arial"/>
                <w:b/>
                <w:bCs/>
                <w:sz w:val="16"/>
                <w:szCs w:val="16"/>
                <w:lang w:val="es-ES" w:eastAsia="es-ES"/>
              </w:rPr>
              <w:t>Porcentaje</w:t>
            </w:r>
          </w:p>
        </w:tc>
      </w:tr>
      <w:tr w:rsidR="00847000" w:rsidRPr="00EA1F14" w:rsidTr="00847000">
        <w:trPr>
          <w:trHeight w:val="253"/>
        </w:trPr>
        <w:tc>
          <w:tcPr>
            <w:tcW w:w="1848" w:type="dxa"/>
            <w:tcBorders>
              <w:left w:val="nil"/>
              <w:right w:val="nil"/>
            </w:tcBorders>
            <w:shd w:val="clear" w:color="auto" w:fill="D3DFEE"/>
            <w:noWrap/>
          </w:tcPr>
          <w:p w:rsidR="00847000" w:rsidRPr="00EA1F14" w:rsidRDefault="00847000" w:rsidP="00847000">
            <w:pPr>
              <w:spacing w:after="0" w:line="240" w:lineRule="auto"/>
              <w:jc w:val="center"/>
              <w:rPr>
                <w:rFonts w:ascii="Arial" w:eastAsia="Times New Roman" w:hAnsi="Arial" w:cs="Arial"/>
                <w:b/>
                <w:bCs/>
                <w:sz w:val="16"/>
                <w:szCs w:val="16"/>
                <w:lang w:val="es-ES" w:eastAsia="es-ES"/>
              </w:rPr>
            </w:pPr>
            <w:r w:rsidRPr="00EA1F14">
              <w:rPr>
                <w:rFonts w:ascii="Arial" w:eastAsia="Times New Roman" w:hAnsi="Arial" w:cs="Arial"/>
                <w:b/>
                <w:bCs/>
                <w:sz w:val="16"/>
                <w:szCs w:val="16"/>
                <w:lang w:val="es-ES" w:eastAsia="es-ES"/>
              </w:rPr>
              <w:t>Fumadores</w:t>
            </w:r>
          </w:p>
        </w:tc>
        <w:tc>
          <w:tcPr>
            <w:tcW w:w="989" w:type="dxa"/>
            <w:tcBorders>
              <w:left w:val="nil"/>
              <w:right w:val="nil"/>
            </w:tcBorders>
            <w:shd w:val="clear" w:color="auto" w:fill="D3DFEE"/>
            <w:noWrap/>
          </w:tcPr>
          <w:p w:rsidR="00847000" w:rsidRPr="00EA1F14" w:rsidRDefault="00847000" w:rsidP="00847000">
            <w:pPr>
              <w:spacing w:after="0" w:line="240" w:lineRule="auto"/>
              <w:jc w:val="center"/>
              <w:rPr>
                <w:rFonts w:ascii="Arial" w:eastAsia="Times New Roman" w:hAnsi="Arial" w:cs="Arial"/>
                <w:b/>
                <w:sz w:val="16"/>
                <w:szCs w:val="16"/>
                <w:lang w:val="es-ES" w:eastAsia="es-ES"/>
              </w:rPr>
            </w:pPr>
            <w:r w:rsidRPr="00EA1F14">
              <w:rPr>
                <w:rFonts w:ascii="Arial" w:eastAsia="Times New Roman" w:hAnsi="Arial" w:cs="Arial"/>
                <w:b/>
                <w:sz w:val="16"/>
                <w:szCs w:val="16"/>
                <w:lang w:val="es-ES" w:eastAsia="es-ES"/>
              </w:rPr>
              <w:t>53</w:t>
            </w:r>
          </w:p>
        </w:tc>
        <w:tc>
          <w:tcPr>
            <w:tcW w:w="1842" w:type="dxa"/>
            <w:tcBorders>
              <w:left w:val="nil"/>
              <w:right w:val="nil"/>
            </w:tcBorders>
            <w:shd w:val="clear" w:color="auto" w:fill="D3DFEE"/>
          </w:tcPr>
          <w:p w:rsidR="00847000" w:rsidRPr="00EA1F14" w:rsidRDefault="00847000" w:rsidP="00847000">
            <w:pPr>
              <w:spacing w:after="0" w:line="240" w:lineRule="auto"/>
              <w:jc w:val="center"/>
              <w:rPr>
                <w:rFonts w:ascii="Arial" w:eastAsia="Times New Roman" w:hAnsi="Arial" w:cs="Arial"/>
                <w:b/>
                <w:sz w:val="16"/>
                <w:szCs w:val="16"/>
                <w:lang w:val="es-ES" w:eastAsia="es-ES"/>
              </w:rPr>
            </w:pPr>
            <w:r w:rsidRPr="00EA1F14">
              <w:rPr>
                <w:rFonts w:ascii="Arial" w:eastAsia="Times New Roman" w:hAnsi="Arial" w:cs="Arial"/>
                <w:b/>
                <w:sz w:val="16"/>
                <w:szCs w:val="16"/>
                <w:lang w:val="es-ES" w:eastAsia="es-ES"/>
              </w:rPr>
              <w:t>84</w:t>
            </w:r>
          </w:p>
        </w:tc>
      </w:tr>
      <w:tr w:rsidR="00847000" w:rsidRPr="00EA1F14" w:rsidTr="00847000">
        <w:trPr>
          <w:trHeight w:val="253"/>
        </w:trPr>
        <w:tc>
          <w:tcPr>
            <w:tcW w:w="1848" w:type="dxa"/>
            <w:noWrap/>
          </w:tcPr>
          <w:p w:rsidR="00847000" w:rsidRPr="00EA1F14" w:rsidRDefault="00847000" w:rsidP="00847000">
            <w:pPr>
              <w:spacing w:after="0" w:line="240" w:lineRule="auto"/>
              <w:jc w:val="center"/>
              <w:rPr>
                <w:rFonts w:ascii="Arial" w:eastAsia="Times New Roman" w:hAnsi="Arial" w:cs="Arial"/>
                <w:b/>
                <w:bCs/>
                <w:sz w:val="16"/>
                <w:szCs w:val="16"/>
                <w:lang w:val="es-ES" w:eastAsia="es-ES"/>
              </w:rPr>
            </w:pPr>
            <w:r w:rsidRPr="00EA1F14">
              <w:rPr>
                <w:rFonts w:ascii="Arial" w:eastAsia="Times New Roman" w:hAnsi="Arial" w:cs="Arial"/>
                <w:b/>
                <w:bCs/>
                <w:sz w:val="16"/>
                <w:szCs w:val="16"/>
                <w:lang w:val="es-ES" w:eastAsia="es-ES"/>
              </w:rPr>
              <w:t>No Fumadores</w:t>
            </w:r>
          </w:p>
        </w:tc>
        <w:tc>
          <w:tcPr>
            <w:tcW w:w="989" w:type="dxa"/>
            <w:noWrap/>
          </w:tcPr>
          <w:p w:rsidR="00847000" w:rsidRPr="00EA1F14" w:rsidRDefault="00847000" w:rsidP="00847000">
            <w:pPr>
              <w:spacing w:after="0" w:line="240" w:lineRule="auto"/>
              <w:jc w:val="center"/>
              <w:rPr>
                <w:rFonts w:ascii="Arial" w:eastAsia="Times New Roman" w:hAnsi="Arial" w:cs="Arial"/>
                <w:b/>
                <w:sz w:val="16"/>
                <w:szCs w:val="16"/>
                <w:lang w:val="es-ES" w:eastAsia="es-ES"/>
              </w:rPr>
            </w:pPr>
            <w:r w:rsidRPr="00EA1F14">
              <w:rPr>
                <w:rFonts w:ascii="Arial" w:eastAsia="Times New Roman" w:hAnsi="Arial" w:cs="Arial"/>
                <w:b/>
                <w:sz w:val="16"/>
                <w:szCs w:val="16"/>
                <w:lang w:val="es-ES" w:eastAsia="es-ES"/>
              </w:rPr>
              <w:t>10</w:t>
            </w:r>
          </w:p>
        </w:tc>
        <w:tc>
          <w:tcPr>
            <w:tcW w:w="1842" w:type="dxa"/>
          </w:tcPr>
          <w:p w:rsidR="00847000" w:rsidRPr="00EA1F14" w:rsidRDefault="00847000" w:rsidP="00847000">
            <w:pPr>
              <w:spacing w:after="0" w:line="240" w:lineRule="auto"/>
              <w:jc w:val="center"/>
              <w:rPr>
                <w:rFonts w:ascii="Arial" w:eastAsia="Times New Roman" w:hAnsi="Arial" w:cs="Arial"/>
                <w:b/>
                <w:sz w:val="16"/>
                <w:szCs w:val="16"/>
                <w:lang w:val="es-ES" w:eastAsia="es-ES"/>
              </w:rPr>
            </w:pPr>
            <w:r w:rsidRPr="00EA1F14">
              <w:rPr>
                <w:rFonts w:ascii="Arial" w:eastAsia="Times New Roman" w:hAnsi="Arial" w:cs="Arial"/>
                <w:b/>
                <w:sz w:val="16"/>
                <w:szCs w:val="16"/>
                <w:lang w:val="es-ES" w:eastAsia="es-ES"/>
              </w:rPr>
              <w:t>16</w:t>
            </w:r>
          </w:p>
        </w:tc>
      </w:tr>
      <w:tr w:rsidR="00847000" w:rsidRPr="00EA1F14" w:rsidTr="00847000">
        <w:trPr>
          <w:trHeight w:val="253"/>
        </w:trPr>
        <w:tc>
          <w:tcPr>
            <w:tcW w:w="1848" w:type="dxa"/>
            <w:noWrap/>
          </w:tcPr>
          <w:p w:rsidR="00847000" w:rsidRPr="00EA1F14" w:rsidRDefault="00847000" w:rsidP="00847000">
            <w:pPr>
              <w:spacing w:after="0" w:line="240" w:lineRule="auto"/>
              <w:jc w:val="center"/>
              <w:rPr>
                <w:rFonts w:ascii="Arial" w:eastAsia="Times New Roman" w:hAnsi="Arial" w:cs="Arial"/>
                <w:b/>
                <w:bCs/>
                <w:sz w:val="16"/>
                <w:szCs w:val="16"/>
                <w:lang w:val="es-ES" w:eastAsia="es-ES"/>
              </w:rPr>
            </w:pPr>
            <w:r w:rsidRPr="00EA1F14">
              <w:rPr>
                <w:rFonts w:ascii="Arial" w:eastAsia="Times New Roman" w:hAnsi="Arial" w:cs="Arial"/>
                <w:b/>
                <w:bCs/>
                <w:sz w:val="16"/>
                <w:szCs w:val="16"/>
                <w:lang w:val="es-ES" w:eastAsia="es-ES"/>
              </w:rPr>
              <w:t>TOTAL</w:t>
            </w:r>
          </w:p>
        </w:tc>
        <w:tc>
          <w:tcPr>
            <w:tcW w:w="989" w:type="dxa"/>
            <w:noWrap/>
          </w:tcPr>
          <w:p w:rsidR="00847000" w:rsidRPr="00EA1F14" w:rsidRDefault="00847000" w:rsidP="00847000">
            <w:pPr>
              <w:spacing w:after="0" w:line="240" w:lineRule="auto"/>
              <w:jc w:val="center"/>
              <w:rPr>
                <w:rFonts w:ascii="Arial" w:eastAsia="Times New Roman" w:hAnsi="Arial" w:cs="Arial"/>
                <w:b/>
                <w:sz w:val="16"/>
                <w:szCs w:val="16"/>
                <w:lang w:val="es-ES" w:eastAsia="es-ES"/>
              </w:rPr>
            </w:pPr>
            <w:r w:rsidRPr="00EA1F14">
              <w:rPr>
                <w:rFonts w:ascii="Arial" w:eastAsia="Times New Roman" w:hAnsi="Arial" w:cs="Arial"/>
                <w:b/>
                <w:sz w:val="16"/>
                <w:szCs w:val="16"/>
                <w:lang w:val="es-ES" w:eastAsia="es-ES"/>
              </w:rPr>
              <w:t>63</w:t>
            </w:r>
          </w:p>
        </w:tc>
        <w:tc>
          <w:tcPr>
            <w:tcW w:w="1842" w:type="dxa"/>
          </w:tcPr>
          <w:p w:rsidR="00847000" w:rsidRPr="00EA1F14" w:rsidRDefault="00847000" w:rsidP="00847000">
            <w:pPr>
              <w:spacing w:after="0" w:line="240" w:lineRule="auto"/>
              <w:jc w:val="center"/>
              <w:rPr>
                <w:rFonts w:ascii="Arial" w:eastAsia="Times New Roman" w:hAnsi="Arial" w:cs="Arial"/>
                <w:b/>
                <w:sz w:val="16"/>
                <w:szCs w:val="16"/>
                <w:lang w:val="es-ES" w:eastAsia="es-ES"/>
              </w:rPr>
            </w:pPr>
            <w:r w:rsidRPr="00EA1F14">
              <w:rPr>
                <w:rFonts w:ascii="Arial" w:eastAsia="Times New Roman" w:hAnsi="Arial" w:cs="Arial"/>
                <w:b/>
                <w:sz w:val="16"/>
                <w:szCs w:val="16"/>
                <w:lang w:val="es-ES" w:eastAsia="es-ES"/>
              </w:rPr>
              <w:t>100</w:t>
            </w:r>
          </w:p>
        </w:tc>
      </w:tr>
    </w:tbl>
    <w:p w:rsidR="00CD0C68" w:rsidRPr="00CD0C68" w:rsidRDefault="00EA1F14" w:rsidP="00847000">
      <w:pPr>
        <w:spacing w:after="0" w:line="240" w:lineRule="auto"/>
        <w:jc w:val="both"/>
        <w:rPr>
          <w:rFonts w:ascii="Arial" w:eastAsia="Calibri" w:hAnsi="Arial" w:cs="Arial"/>
          <w:b/>
          <w:sz w:val="20"/>
          <w:szCs w:val="20"/>
          <w:lang w:eastAsia="es-MX"/>
        </w:rPr>
      </w:pPr>
      <w:r>
        <w:rPr>
          <w:rFonts w:ascii="Arial" w:eastAsia="Times New Roman" w:hAnsi="Arial" w:cs="Arial"/>
          <w:b/>
          <w:noProof/>
          <w:sz w:val="20"/>
          <w:szCs w:val="20"/>
          <w:lang w:eastAsia="es-MX"/>
        </w:rPr>
        <w:drawing>
          <wp:inline distT="0" distB="0" distL="0" distR="0" wp14:anchorId="5894E1CE" wp14:editId="62A78FD3">
            <wp:extent cx="1777593" cy="1065268"/>
            <wp:effectExtent l="0" t="0" r="0" b="190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7593" cy="1065268"/>
                    </a:xfrm>
                    <a:prstGeom prst="rect">
                      <a:avLst/>
                    </a:prstGeom>
                    <a:noFill/>
                  </pic:spPr>
                </pic:pic>
              </a:graphicData>
            </a:graphic>
          </wp:inline>
        </w:drawing>
      </w:r>
    </w:p>
    <w:p w:rsidR="00CD0C68" w:rsidRPr="00CD0C68" w:rsidRDefault="00CD0C68" w:rsidP="00CD0C68">
      <w:pPr>
        <w:spacing w:after="0" w:line="240" w:lineRule="auto"/>
        <w:jc w:val="both"/>
        <w:rPr>
          <w:rFonts w:ascii="Arial" w:eastAsia="Calibri" w:hAnsi="Arial" w:cs="Arial"/>
          <w:b/>
          <w:sz w:val="20"/>
          <w:szCs w:val="20"/>
          <w:lang w:eastAsia="es-MX"/>
        </w:rPr>
      </w:pPr>
    </w:p>
    <w:p w:rsidR="00CD0C68" w:rsidRPr="00CD0C68" w:rsidRDefault="00CD0C68" w:rsidP="00CD0C68">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rPr>
      </w:pPr>
      <w:r w:rsidRPr="00CD0C68">
        <w:rPr>
          <w:rFonts w:ascii="Times New Roman" w:eastAsia="Times New Roman" w:hAnsi="Times New Roman" w:cs="Times New Roman"/>
          <w:sz w:val="20"/>
          <w:szCs w:val="20"/>
        </w:rPr>
        <w:t xml:space="preserve">      </w:t>
      </w:r>
    </w:p>
    <w:p w:rsidR="00180237" w:rsidRDefault="00CD0C68" w:rsidP="00180237">
      <w:pPr>
        <w:pStyle w:val="NormalWeb"/>
        <w:shd w:val="clear" w:color="auto" w:fill="FFFFFF"/>
        <w:spacing w:after="0" w:line="240" w:lineRule="auto"/>
        <w:jc w:val="both"/>
        <w:textAlignment w:val="baseline"/>
        <w:rPr>
          <w:rFonts w:ascii="Arial" w:eastAsia="Calibri" w:hAnsi="Arial" w:cs="Arial"/>
          <w:sz w:val="20"/>
          <w:szCs w:val="20"/>
          <w:lang w:eastAsia="es-MX"/>
        </w:rPr>
      </w:pPr>
      <w:r w:rsidRPr="00CD0C68">
        <w:rPr>
          <w:rFonts w:ascii="Arial" w:eastAsia="Times New Roman" w:hAnsi="Arial" w:cs="Arial"/>
          <w:b/>
          <w:caps/>
          <w:sz w:val="20"/>
          <w:lang w:val="es-ES"/>
        </w:rPr>
        <w:t xml:space="preserve">4. </w:t>
      </w:r>
      <w:r w:rsidRPr="00180237">
        <w:rPr>
          <w:rFonts w:ascii="Arial" w:eastAsia="Calibri" w:hAnsi="Arial" w:cs="Arial"/>
          <w:b/>
          <w:sz w:val="20"/>
          <w:szCs w:val="20"/>
          <w:lang w:eastAsia="es-MX"/>
        </w:rPr>
        <w:t>CONCLUSIONES.</w:t>
      </w:r>
      <w:r w:rsidR="00C56A6D" w:rsidRPr="00180237">
        <w:rPr>
          <w:rFonts w:ascii="Arial" w:eastAsia="Calibri" w:hAnsi="Arial" w:cs="Arial"/>
          <w:sz w:val="20"/>
          <w:szCs w:val="20"/>
          <w:lang w:eastAsia="es-MX"/>
        </w:rPr>
        <w:t xml:space="preserve"> </w:t>
      </w:r>
      <w:r w:rsidR="00C56A6D" w:rsidRPr="00180237">
        <w:rPr>
          <w:rFonts w:ascii="Arial" w:eastAsia="Calibri" w:hAnsi="Arial" w:cs="Arial"/>
          <w:sz w:val="20"/>
          <w:szCs w:val="20"/>
          <w:lang w:eastAsia="es-MX"/>
        </w:rPr>
        <w:t xml:space="preserve">El PSA sigue siendo el marcador patrón para el diagnóstico del cáncer de próstata. </w:t>
      </w:r>
      <w:r w:rsidR="00180237" w:rsidRPr="00180237">
        <w:rPr>
          <w:rFonts w:ascii="Arial" w:eastAsia="Calibri" w:hAnsi="Arial" w:cs="Arial"/>
          <w:sz w:val="20"/>
          <w:szCs w:val="20"/>
          <w:lang w:eastAsia="es-MX"/>
        </w:rPr>
        <w:t>La Asociación Americana del Cáncer y la Asociación de Urólogos Americanos, recomiendan una exploración anual, el cual debería empezar en la mayoría de los varones entre 50 y 70 años de edad. Sin embargo, basándose en modelos de computación, algunos expertos recomiendan incluir en la exploración a todos los hombres entre 40 y 45 y dos veces al año a partir de los 50. Este trabajo sugiere realizar la prueba de PSA para el diagnóstico de cáncer de próstata. La mayoría de los expertos están de acuerdo en que los hombres que tienen antecedentes familiares de cáncer de próstata inicien las revisiones a los 40 años.</w:t>
      </w:r>
    </w:p>
    <w:p w:rsidR="00180237" w:rsidRPr="00180237" w:rsidRDefault="00180237" w:rsidP="00180237">
      <w:pPr>
        <w:pStyle w:val="NormalWeb"/>
        <w:shd w:val="clear" w:color="auto" w:fill="FFFFFF"/>
        <w:spacing w:after="0" w:line="240" w:lineRule="auto"/>
        <w:jc w:val="both"/>
        <w:textAlignment w:val="baseline"/>
        <w:rPr>
          <w:rFonts w:ascii="Arial" w:eastAsia="Calibri" w:hAnsi="Arial" w:cs="Arial"/>
          <w:sz w:val="20"/>
          <w:szCs w:val="20"/>
          <w:lang w:eastAsia="es-MX"/>
        </w:rPr>
      </w:pPr>
    </w:p>
    <w:p w:rsidR="00CD0C68" w:rsidRPr="00CD0C68" w:rsidRDefault="00CD0C68" w:rsidP="00CD0C68">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CD0C68">
        <w:rPr>
          <w:rFonts w:ascii="Arial" w:eastAsia="Times New Roman" w:hAnsi="Arial" w:cs="Arial"/>
          <w:b/>
          <w:sz w:val="20"/>
          <w:szCs w:val="20"/>
          <w:lang w:val="es-ES"/>
        </w:rPr>
        <w:t>BIBLIOGRAFÍA.</w:t>
      </w:r>
    </w:p>
    <w:p w:rsidR="00C502CE" w:rsidRPr="00C502CE" w:rsidRDefault="00C502CE" w:rsidP="00C502CE">
      <w:pPr>
        <w:numPr>
          <w:ilvl w:val="0"/>
          <w:numId w:val="5"/>
        </w:numPr>
        <w:spacing w:after="0" w:line="240" w:lineRule="auto"/>
        <w:ind w:right="51"/>
        <w:contextualSpacing/>
        <w:jc w:val="both"/>
        <w:rPr>
          <w:rFonts w:ascii="Arial" w:eastAsia="Calibri" w:hAnsi="Arial" w:cs="Arial"/>
          <w:bCs/>
          <w:sz w:val="20"/>
          <w:szCs w:val="20"/>
          <w:lang w:eastAsia="es-ES"/>
        </w:rPr>
      </w:pPr>
      <w:r w:rsidRPr="00C502CE">
        <w:rPr>
          <w:rFonts w:ascii="Arial" w:eastAsia="Calibri" w:hAnsi="Arial" w:cs="Arial"/>
          <w:bCs/>
          <w:sz w:val="20"/>
          <w:szCs w:val="20"/>
          <w:lang w:eastAsia="es-ES"/>
        </w:rPr>
        <w:t xml:space="preserve">Alcaraz Asensio Antonio, ALTERACIONES GENÉTICAS EN EL CÁNCER DE PROSTATA,  Servicio de Urología y Trasplante Renal, Hospital Clínica Barcelona. (IDIBAPS) </w:t>
      </w:r>
      <w:proofErr w:type="spellStart"/>
      <w:r w:rsidRPr="00C502CE">
        <w:rPr>
          <w:rFonts w:ascii="Arial" w:eastAsia="Calibri" w:hAnsi="Arial" w:cs="Arial"/>
          <w:bCs/>
          <w:sz w:val="20"/>
          <w:szCs w:val="20"/>
          <w:lang w:eastAsia="es-ES"/>
        </w:rPr>
        <w:t>Institut</w:t>
      </w:r>
      <w:proofErr w:type="spellEnd"/>
      <w:r w:rsidRPr="00C502CE">
        <w:rPr>
          <w:rFonts w:ascii="Arial" w:eastAsia="Calibri" w:hAnsi="Arial" w:cs="Arial"/>
          <w:bCs/>
          <w:sz w:val="20"/>
          <w:szCs w:val="20"/>
          <w:lang w:eastAsia="es-ES"/>
        </w:rPr>
        <w:t xml:space="preserve"> </w:t>
      </w:r>
      <w:proofErr w:type="spellStart"/>
      <w:r w:rsidRPr="00C502CE">
        <w:rPr>
          <w:rFonts w:ascii="Arial" w:eastAsia="Calibri" w:hAnsi="Arial" w:cs="Arial"/>
          <w:bCs/>
          <w:sz w:val="20"/>
          <w:szCs w:val="20"/>
          <w:lang w:eastAsia="es-ES"/>
        </w:rPr>
        <w:t>D´Investigació</w:t>
      </w:r>
      <w:proofErr w:type="spellEnd"/>
      <w:r w:rsidRPr="00C502CE">
        <w:rPr>
          <w:rFonts w:ascii="Arial" w:eastAsia="Calibri" w:hAnsi="Arial" w:cs="Arial"/>
          <w:bCs/>
          <w:sz w:val="20"/>
          <w:szCs w:val="20"/>
          <w:lang w:eastAsia="es-ES"/>
        </w:rPr>
        <w:t xml:space="preserve"> Básica </w:t>
      </w:r>
      <w:proofErr w:type="spellStart"/>
      <w:r w:rsidRPr="00C502CE">
        <w:rPr>
          <w:rFonts w:ascii="Arial" w:eastAsia="Calibri" w:hAnsi="Arial" w:cs="Arial"/>
          <w:bCs/>
          <w:sz w:val="20"/>
          <w:szCs w:val="20"/>
          <w:lang w:eastAsia="es-ES"/>
        </w:rPr>
        <w:t>August</w:t>
      </w:r>
      <w:proofErr w:type="spellEnd"/>
      <w:r w:rsidRPr="00C502CE">
        <w:rPr>
          <w:rFonts w:ascii="Arial" w:eastAsia="Calibri" w:hAnsi="Arial" w:cs="Arial"/>
          <w:bCs/>
          <w:sz w:val="20"/>
          <w:szCs w:val="20"/>
          <w:lang w:eastAsia="es-ES"/>
        </w:rPr>
        <w:t xml:space="preserve"> Pi i </w:t>
      </w:r>
      <w:proofErr w:type="spellStart"/>
      <w:r w:rsidRPr="00C502CE">
        <w:rPr>
          <w:rFonts w:ascii="Arial" w:eastAsia="Calibri" w:hAnsi="Arial" w:cs="Arial"/>
          <w:bCs/>
          <w:sz w:val="20"/>
          <w:szCs w:val="20"/>
          <w:lang w:eastAsia="es-ES"/>
        </w:rPr>
        <w:t>Sunyer</w:t>
      </w:r>
      <w:proofErr w:type="spellEnd"/>
    </w:p>
    <w:p w:rsidR="00C502CE" w:rsidRPr="00C502CE" w:rsidRDefault="00C502CE" w:rsidP="00C502CE">
      <w:pPr>
        <w:numPr>
          <w:ilvl w:val="0"/>
          <w:numId w:val="5"/>
        </w:numPr>
        <w:spacing w:after="0" w:line="240" w:lineRule="auto"/>
        <w:ind w:right="51"/>
        <w:contextualSpacing/>
        <w:jc w:val="both"/>
        <w:rPr>
          <w:rFonts w:ascii="Arial" w:eastAsia="Calibri" w:hAnsi="Arial" w:cs="Arial"/>
          <w:bCs/>
          <w:sz w:val="20"/>
          <w:szCs w:val="20"/>
          <w:lang w:val="en-US" w:eastAsia="es-ES"/>
        </w:rPr>
      </w:pPr>
      <w:r w:rsidRPr="00C502CE">
        <w:rPr>
          <w:rFonts w:ascii="Arial" w:eastAsia="Calibri" w:hAnsi="Arial" w:cs="Arial"/>
          <w:bCs/>
          <w:sz w:val="20"/>
          <w:szCs w:val="20"/>
          <w:lang w:val="en-US" w:eastAsia="es-ES"/>
        </w:rPr>
        <w:t>American Urological Association. PROSTATE-SPECIFIC ANTIGEN (PSA) BEST PRACTICE POLICY. Oncology (Hunting) 2000; 14:267-72, 277-78, 280.</w:t>
      </w:r>
    </w:p>
    <w:p w:rsidR="00C502CE" w:rsidRPr="00C502CE" w:rsidRDefault="00C502CE" w:rsidP="00C502CE">
      <w:pPr>
        <w:numPr>
          <w:ilvl w:val="0"/>
          <w:numId w:val="5"/>
        </w:numPr>
        <w:spacing w:after="0" w:line="240" w:lineRule="auto"/>
        <w:ind w:right="51"/>
        <w:contextualSpacing/>
        <w:jc w:val="both"/>
        <w:rPr>
          <w:rFonts w:ascii="Arial" w:eastAsia="Calibri" w:hAnsi="Arial" w:cs="Arial"/>
          <w:bCs/>
          <w:sz w:val="20"/>
          <w:szCs w:val="20"/>
          <w:lang w:eastAsia="es-ES"/>
        </w:rPr>
      </w:pPr>
      <w:r w:rsidRPr="00C502CE">
        <w:rPr>
          <w:rFonts w:ascii="Arial" w:hAnsi="Arial" w:cs="Arial"/>
          <w:sz w:val="20"/>
          <w:szCs w:val="20"/>
        </w:rPr>
        <w:t xml:space="preserve">Cepeda Piorno Javier, Manuel Rivas del Fresno, Eduardo Fuente Martín, Esther González García, Valentín </w:t>
      </w:r>
      <w:proofErr w:type="spellStart"/>
      <w:r w:rsidRPr="00C502CE">
        <w:rPr>
          <w:rFonts w:ascii="Arial" w:hAnsi="Arial" w:cs="Arial"/>
          <w:sz w:val="20"/>
          <w:szCs w:val="20"/>
        </w:rPr>
        <w:t>Muruamendiaraz</w:t>
      </w:r>
      <w:proofErr w:type="spellEnd"/>
      <w:r w:rsidRPr="00C502CE">
        <w:rPr>
          <w:rFonts w:ascii="Arial" w:hAnsi="Arial" w:cs="Arial"/>
          <w:sz w:val="20"/>
          <w:szCs w:val="20"/>
        </w:rPr>
        <w:t xml:space="preserve"> Fernández y Eloy Fernández Rodríguez. VENTAJAS Y RIESGOS DE LA UTILIZACIÓN DEL ANTÍGENO PROSTÁTICO ESPECÍFICO (PSA) EN EL ÁREA SANITARIA V DE GIJÓN (ASTURIAS).  </w:t>
      </w:r>
      <w:proofErr w:type="spellStart"/>
      <w:r w:rsidRPr="00C502CE">
        <w:rPr>
          <w:rFonts w:ascii="Arial" w:hAnsi="Arial" w:cs="Arial"/>
          <w:sz w:val="20"/>
          <w:szCs w:val="20"/>
        </w:rPr>
        <w:t>Arch</w:t>
      </w:r>
      <w:proofErr w:type="spellEnd"/>
      <w:r w:rsidRPr="00C502CE">
        <w:rPr>
          <w:rFonts w:ascii="Arial" w:hAnsi="Arial" w:cs="Arial"/>
          <w:sz w:val="20"/>
          <w:szCs w:val="20"/>
        </w:rPr>
        <w:t xml:space="preserve">. Esp. </w:t>
      </w:r>
      <w:proofErr w:type="spellStart"/>
      <w:r w:rsidRPr="00C502CE">
        <w:rPr>
          <w:rFonts w:ascii="Arial" w:hAnsi="Arial" w:cs="Arial"/>
          <w:sz w:val="20"/>
          <w:szCs w:val="20"/>
        </w:rPr>
        <w:t>Urol</w:t>
      </w:r>
      <w:proofErr w:type="spellEnd"/>
      <w:r w:rsidRPr="00C502CE">
        <w:rPr>
          <w:rFonts w:ascii="Arial" w:hAnsi="Arial" w:cs="Arial"/>
          <w:sz w:val="20"/>
          <w:szCs w:val="20"/>
        </w:rPr>
        <w:t>., 58, 5 (403-411), 2005</w:t>
      </w:r>
    </w:p>
    <w:p w:rsidR="00C502CE" w:rsidRPr="00C502CE" w:rsidRDefault="00C502CE" w:rsidP="00C502CE">
      <w:pPr>
        <w:numPr>
          <w:ilvl w:val="0"/>
          <w:numId w:val="5"/>
        </w:numPr>
        <w:spacing w:after="0" w:line="240" w:lineRule="auto"/>
        <w:ind w:right="51"/>
        <w:contextualSpacing/>
        <w:jc w:val="both"/>
        <w:rPr>
          <w:rFonts w:ascii="Arial" w:eastAsia="Calibri" w:hAnsi="Arial" w:cs="Arial"/>
          <w:bCs/>
          <w:sz w:val="20"/>
          <w:szCs w:val="20"/>
          <w:lang w:eastAsia="es-ES"/>
        </w:rPr>
      </w:pPr>
      <w:r w:rsidRPr="00C502CE">
        <w:rPr>
          <w:rFonts w:ascii="Arial" w:hAnsi="Arial" w:cs="Arial"/>
          <w:sz w:val="20"/>
          <w:szCs w:val="20"/>
        </w:rPr>
        <w:t xml:space="preserve">Consejo estatal de población Morelos (2012) consultado en </w:t>
      </w:r>
      <w:hyperlink r:id="rId16" w:history="1">
        <w:r w:rsidR="00015E7E" w:rsidRPr="00C502CE">
          <w:rPr>
            <w:rFonts w:ascii="Arial" w:hAnsi="Arial" w:cs="Arial"/>
            <w:sz w:val="20"/>
            <w:szCs w:val="20"/>
            <w:u w:val="single"/>
          </w:rPr>
          <w:t>http://www.coespomor.gob.mx/salud/cancer_prostata.pdf</w:t>
        </w:r>
      </w:hyperlink>
    </w:p>
    <w:p w:rsidR="00C502CE" w:rsidRPr="00C502CE" w:rsidRDefault="00C502CE" w:rsidP="00C502CE">
      <w:pPr>
        <w:numPr>
          <w:ilvl w:val="0"/>
          <w:numId w:val="5"/>
        </w:numPr>
        <w:spacing w:after="0" w:line="240" w:lineRule="auto"/>
        <w:ind w:right="51"/>
        <w:contextualSpacing/>
        <w:jc w:val="both"/>
        <w:rPr>
          <w:rFonts w:ascii="Arial" w:eastAsia="Calibri" w:hAnsi="Arial" w:cs="Arial"/>
          <w:bCs/>
          <w:sz w:val="20"/>
          <w:szCs w:val="20"/>
          <w:lang w:eastAsia="es-ES"/>
        </w:rPr>
      </w:pPr>
      <w:r w:rsidRPr="00C502CE">
        <w:rPr>
          <w:rFonts w:ascii="Arial" w:hAnsi="Arial" w:cs="Arial"/>
          <w:sz w:val="20"/>
          <w:szCs w:val="20"/>
        </w:rPr>
        <w:t>Departamento de Salud y Servicios Humanos de EE. UU. LO QUE USTED NECESITA SABER SOBRE EL CANCER DE PROSTATA  EDICION ENERO 2004   Pág. 2</w:t>
      </w:r>
    </w:p>
    <w:p w:rsidR="00C502CE" w:rsidRPr="00C502CE" w:rsidRDefault="00C502CE" w:rsidP="00C502CE">
      <w:pPr>
        <w:numPr>
          <w:ilvl w:val="0"/>
          <w:numId w:val="5"/>
        </w:numPr>
        <w:spacing w:after="0" w:line="240" w:lineRule="auto"/>
        <w:ind w:right="51"/>
        <w:contextualSpacing/>
        <w:jc w:val="both"/>
        <w:rPr>
          <w:rFonts w:ascii="Arial" w:eastAsia="Calibri" w:hAnsi="Arial" w:cs="Arial"/>
          <w:bCs/>
          <w:sz w:val="20"/>
          <w:szCs w:val="20"/>
          <w:lang w:eastAsia="es-ES"/>
        </w:rPr>
      </w:pPr>
      <w:r w:rsidRPr="00C502CE">
        <w:rPr>
          <w:rFonts w:ascii="Arial" w:hAnsi="Arial" w:cs="Arial"/>
          <w:sz w:val="20"/>
          <w:szCs w:val="20"/>
        </w:rPr>
        <w:t xml:space="preserve">E. </w:t>
      </w:r>
      <w:proofErr w:type="spellStart"/>
      <w:r w:rsidRPr="00C502CE">
        <w:rPr>
          <w:rFonts w:ascii="Arial" w:hAnsi="Arial" w:cs="Arial"/>
          <w:sz w:val="20"/>
          <w:szCs w:val="20"/>
        </w:rPr>
        <w:t>Katz</w:t>
      </w:r>
      <w:proofErr w:type="spellEnd"/>
      <w:r w:rsidRPr="00C502CE">
        <w:rPr>
          <w:rFonts w:ascii="Arial" w:hAnsi="Arial" w:cs="Arial"/>
          <w:sz w:val="20"/>
          <w:szCs w:val="20"/>
        </w:rPr>
        <w:t xml:space="preserve"> Aarón, LA PROSTATA, TRATAMIENTO, PREVENCION Y CUIDADO, Grupo Editorial Tomo SA de CV, México DF.</w:t>
      </w:r>
    </w:p>
    <w:p w:rsidR="00C502CE" w:rsidRPr="00C502CE" w:rsidRDefault="00C502CE" w:rsidP="00C502CE">
      <w:pPr>
        <w:numPr>
          <w:ilvl w:val="0"/>
          <w:numId w:val="5"/>
        </w:numPr>
        <w:spacing w:after="0" w:line="240" w:lineRule="auto"/>
        <w:ind w:right="51"/>
        <w:contextualSpacing/>
        <w:rPr>
          <w:rFonts w:ascii="Arial" w:eastAsia="Calibri" w:hAnsi="Arial" w:cs="Arial"/>
          <w:bCs/>
          <w:sz w:val="20"/>
          <w:szCs w:val="20"/>
          <w:lang w:eastAsia="es-ES"/>
        </w:rPr>
      </w:pPr>
      <w:proofErr w:type="spellStart"/>
      <w:r w:rsidRPr="00C502CE">
        <w:rPr>
          <w:rFonts w:ascii="Arial" w:hAnsi="Arial" w:cs="Arial"/>
          <w:sz w:val="20"/>
          <w:szCs w:val="20"/>
        </w:rPr>
        <w:t>OMSCáncer</w:t>
      </w:r>
      <w:proofErr w:type="spellEnd"/>
      <w:r w:rsidRPr="00C502CE">
        <w:rPr>
          <w:rFonts w:ascii="Arial" w:hAnsi="Arial" w:cs="Arial"/>
          <w:sz w:val="20"/>
          <w:szCs w:val="20"/>
        </w:rPr>
        <w:t xml:space="preserve">(2015) consultado en </w:t>
      </w:r>
      <w:hyperlink r:id="rId17" w:history="1">
        <w:r w:rsidR="00015E7E" w:rsidRPr="00C502CE">
          <w:rPr>
            <w:rFonts w:ascii="Arial" w:hAnsi="Arial" w:cs="Arial"/>
            <w:sz w:val="20"/>
            <w:szCs w:val="20"/>
            <w:u w:val="single"/>
          </w:rPr>
          <w:t>http://www.who.int/mediacentre/factsheets/fs297/es/index.html</w:t>
        </w:r>
      </w:hyperlink>
    </w:p>
    <w:p w:rsidR="00C502CE" w:rsidRPr="00C502CE" w:rsidRDefault="00C502CE" w:rsidP="00C502CE">
      <w:pPr>
        <w:numPr>
          <w:ilvl w:val="0"/>
          <w:numId w:val="5"/>
        </w:numPr>
        <w:spacing w:after="0" w:line="240" w:lineRule="auto"/>
        <w:ind w:right="51"/>
        <w:contextualSpacing/>
        <w:rPr>
          <w:rFonts w:ascii="Arial" w:eastAsia="Calibri" w:hAnsi="Arial" w:cs="Arial"/>
          <w:bCs/>
          <w:sz w:val="20"/>
          <w:szCs w:val="20"/>
          <w:lang w:eastAsia="es-ES"/>
        </w:rPr>
      </w:pPr>
      <w:r w:rsidRPr="00C502CE">
        <w:rPr>
          <w:rFonts w:ascii="Arial" w:hAnsi="Arial" w:cs="Arial"/>
          <w:sz w:val="20"/>
          <w:szCs w:val="20"/>
          <w:lang w:val="en-US"/>
        </w:rPr>
        <w:t xml:space="preserve">Rees MA, </w:t>
      </w:r>
      <w:proofErr w:type="spellStart"/>
      <w:r w:rsidRPr="00C502CE">
        <w:rPr>
          <w:rFonts w:ascii="Arial" w:hAnsi="Arial" w:cs="Arial"/>
          <w:sz w:val="20"/>
          <w:szCs w:val="20"/>
          <w:lang w:val="en-US"/>
        </w:rPr>
        <w:t>Resnick</w:t>
      </w:r>
      <w:proofErr w:type="spellEnd"/>
      <w:r w:rsidRPr="00C502CE">
        <w:rPr>
          <w:rFonts w:ascii="Arial" w:hAnsi="Arial" w:cs="Arial"/>
          <w:sz w:val="20"/>
          <w:szCs w:val="20"/>
          <w:lang w:val="en-US"/>
        </w:rPr>
        <w:t xml:space="preserve"> MI, </w:t>
      </w:r>
      <w:proofErr w:type="spellStart"/>
      <w:r w:rsidRPr="00C502CE">
        <w:rPr>
          <w:rFonts w:ascii="Arial" w:hAnsi="Arial" w:cs="Arial"/>
          <w:sz w:val="20"/>
          <w:szCs w:val="20"/>
          <w:lang w:val="en-US"/>
        </w:rPr>
        <w:t>Oesterling</w:t>
      </w:r>
      <w:proofErr w:type="spellEnd"/>
      <w:r w:rsidRPr="00C502CE">
        <w:rPr>
          <w:rFonts w:ascii="Arial" w:hAnsi="Arial" w:cs="Arial"/>
          <w:sz w:val="20"/>
          <w:szCs w:val="20"/>
          <w:lang w:val="en-US"/>
        </w:rPr>
        <w:t xml:space="preserve"> JE. USE OF PROSTATE-SPECIFIC ANTIGEN, GLEASON SCORE, AND DIGITAL RECTAL EXAMINATION IN STAGING PATIENTS WITH NEWLY DIAGNOSED PROSTATE CANCER. </w:t>
      </w:r>
      <w:proofErr w:type="spellStart"/>
      <w:r w:rsidRPr="00C502CE">
        <w:rPr>
          <w:rFonts w:ascii="Arial" w:hAnsi="Arial" w:cs="Arial"/>
          <w:sz w:val="20"/>
          <w:szCs w:val="20"/>
        </w:rPr>
        <w:t>Urol</w:t>
      </w:r>
      <w:proofErr w:type="spellEnd"/>
      <w:r w:rsidRPr="00C502CE">
        <w:rPr>
          <w:rFonts w:ascii="Arial" w:hAnsi="Arial" w:cs="Arial"/>
          <w:sz w:val="20"/>
          <w:szCs w:val="20"/>
        </w:rPr>
        <w:t xml:space="preserve"> </w:t>
      </w:r>
      <w:proofErr w:type="spellStart"/>
      <w:r w:rsidRPr="00C502CE">
        <w:rPr>
          <w:rFonts w:ascii="Arial" w:hAnsi="Arial" w:cs="Arial"/>
          <w:sz w:val="20"/>
          <w:szCs w:val="20"/>
        </w:rPr>
        <w:t>Clin</w:t>
      </w:r>
      <w:proofErr w:type="spellEnd"/>
      <w:r w:rsidRPr="00C502CE">
        <w:rPr>
          <w:rFonts w:ascii="Arial" w:hAnsi="Arial" w:cs="Arial"/>
          <w:sz w:val="20"/>
          <w:szCs w:val="20"/>
        </w:rPr>
        <w:t xml:space="preserve"> North Am. 1997 May;24(2):379-88</w:t>
      </w:r>
    </w:p>
    <w:p w:rsidR="00C502CE" w:rsidRPr="00C502CE" w:rsidRDefault="00C502CE" w:rsidP="00C502CE">
      <w:pPr>
        <w:numPr>
          <w:ilvl w:val="0"/>
          <w:numId w:val="5"/>
        </w:numPr>
        <w:spacing w:after="0" w:line="240" w:lineRule="auto"/>
        <w:ind w:right="51"/>
        <w:contextualSpacing/>
        <w:rPr>
          <w:rFonts w:ascii="Arial" w:eastAsia="Calibri" w:hAnsi="Arial" w:cs="Arial"/>
          <w:bCs/>
          <w:sz w:val="20"/>
          <w:szCs w:val="20"/>
          <w:lang w:eastAsia="es-ES"/>
        </w:rPr>
      </w:pPr>
      <w:r w:rsidRPr="00C502CE">
        <w:rPr>
          <w:rFonts w:ascii="Arial" w:hAnsi="Arial" w:cs="Arial"/>
          <w:sz w:val="20"/>
          <w:szCs w:val="20"/>
        </w:rPr>
        <w:t>Salazar S. (2004) 08 sensibilidad y especificidad de los marcadores. Consultado  en: www.respyn.uanl.mx/especiales/ee-8-2004/08.pdf</w:t>
      </w:r>
    </w:p>
    <w:p w:rsidR="00CD0C68" w:rsidRDefault="00CD0C68"/>
    <w:sectPr w:rsidR="00CD0C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1FB4"/>
    <w:multiLevelType w:val="hybridMultilevel"/>
    <w:tmpl w:val="85C2C9D0"/>
    <w:lvl w:ilvl="0" w:tplc="988E1FD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973360"/>
    <w:multiLevelType w:val="hybridMultilevel"/>
    <w:tmpl w:val="E51E70C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1077AFE"/>
    <w:multiLevelType w:val="multilevel"/>
    <w:tmpl w:val="88362254"/>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A752CBC"/>
    <w:multiLevelType w:val="hybridMultilevel"/>
    <w:tmpl w:val="766C95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D11593E"/>
    <w:multiLevelType w:val="hybridMultilevel"/>
    <w:tmpl w:val="ABDED0F2"/>
    <w:lvl w:ilvl="0" w:tplc="6B0C0BB0">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68"/>
    <w:rsid w:val="00015E7E"/>
    <w:rsid w:val="00180237"/>
    <w:rsid w:val="00231053"/>
    <w:rsid w:val="00231EE7"/>
    <w:rsid w:val="0033432E"/>
    <w:rsid w:val="004601DD"/>
    <w:rsid w:val="004D7401"/>
    <w:rsid w:val="005655FC"/>
    <w:rsid w:val="005F1738"/>
    <w:rsid w:val="006042F3"/>
    <w:rsid w:val="00797C82"/>
    <w:rsid w:val="00847000"/>
    <w:rsid w:val="009A5D00"/>
    <w:rsid w:val="00C502CE"/>
    <w:rsid w:val="00C5459B"/>
    <w:rsid w:val="00C56A6D"/>
    <w:rsid w:val="00CD0C68"/>
    <w:rsid w:val="00EA1F14"/>
    <w:rsid w:val="00EF45B5"/>
    <w:rsid w:val="00F15A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0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C68"/>
    <w:rPr>
      <w:rFonts w:ascii="Tahoma" w:hAnsi="Tahoma" w:cs="Tahoma"/>
      <w:sz w:val="16"/>
      <w:szCs w:val="16"/>
    </w:rPr>
  </w:style>
  <w:style w:type="table" w:styleId="Tablaconcuadrcula">
    <w:name w:val="Table Grid"/>
    <w:basedOn w:val="Tablanormal"/>
    <w:rsid w:val="00CD0C68"/>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D0C68"/>
    <w:rPr>
      <w:rFonts w:ascii="Times New Roman" w:hAnsi="Times New Roman" w:cs="Times New Roman"/>
      <w:sz w:val="24"/>
      <w:szCs w:val="24"/>
    </w:rPr>
  </w:style>
  <w:style w:type="paragraph" w:styleId="Prrafodelista">
    <w:name w:val="List Paragraph"/>
    <w:basedOn w:val="Normal"/>
    <w:uiPriority w:val="34"/>
    <w:qFormat/>
    <w:rsid w:val="00CD0C68"/>
    <w:pPr>
      <w:ind w:left="720"/>
      <w:contextualSpacing/>
    </w:pPr>
  </w:style>
  <w:style w:type="paragraph" w:customStyle="1" w:styleId="DaHrO">
    <w:name w:val="DaHrO"/>
    <w:basedOn w:val="Asuntodelcomentario"/>
    <w:link w:val="DaHrOCar"/>
    <w:qFormat/>
    <w:rsid w:val="004601DD"/>
    <w:pPr>
      <w:spacing w:after="0" w:line="360" w:lineRule="auto"/>
      <w:ind w:right="51"/>
      <w:jc w:val="both"/>
    </w:pPr>
    <w:rPr>
      <w:rFonts w:ascii="Arial" w:eastAsia="Calibri" w:hAnsi="Arial" w:cs="Times New Roman"/>
      <w:b w:val="0"/>
      <w:color w:val="262626"/>
      <w:sz w:val="22"/>
      <w:szCs w:val="24"/>
      <w:lang w:val="es-ES"/>
    </w:rPr>
  </w:style>
  <w:style w:type="character" w:customStyle="1" w:styleId="DaHrOCar">
    <w:name w:val="DaHrO Car"/>
    <w:basedOn w:val="Fuentedeprrafopredeter"/>
    <w:link w:val="DaHrO"/>
    <w:rsid w:val="004601DD"/>
    <w:rPr>
      <w:rFonts w:ascii="Arial" w:eastAsia="Calibri" w:hAnsi="Arial" w:cs="Times New Roman"/>
      <w:bCs/>
      <w:color w:val="262626"/>
      <w:szCs w:val="24"/>
      <w:lang w:val="es-ES"/>
    </w:rPr>
  </w:style>
  <w:style w:type="paragraph" w:styleId="Textocomentario">
    <w:name w:val="annotation text"/>
    <w:basedOn w:val="Normal"/>
    <w:link w:val="TextocomentarioCar"/>
    <w:uiPriority w:val="99"/>
    <w:semiHidden/>
    <w:unhideWhenUsed/>
    <w:rsid w:val="004601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1DD"/>
    <w:rPr>
      <w:sz w:val="20"/>
      <w:szCs w:val="20"/>
    </w:rPr>
  </w:style>
  <w:style w:type="paragraph" w:styleId="Asuntodelcomentario">
    <w:name w:val="annotation subject"/>
    <w:basedOn w:val="Textocomentario"/>
    <w:next w:val="Textocomentario"/>
    <w:link w:val="AsuntodelcomentarioCar"/>
    <w:uiPriority w:val="99"/>
    <w:semiHidden/>
    <w:unhideWhenUsed/>
    <w:rsid w:val="004601DD"/>
    <w:rPr>
      <w:b/>
      <w:bCs/>
    </w:rPr>
  </w:style>
  <w:style w:type="character" w:customStyle="1" w:styleId="AsuntodelcomentarioCar">
    <w:name w:val="Asunto del comentario Car"/>
    <w:basedOn w:val="TextocomentarioCar"/>
    <w:link w:val="Asuntodelcomentario"/>
    <w:uiPriority w:val="99"/>
    <w:semiHidden/>
    <w:rsid w:val="004601DD"/>
    <w:rPr>
      <w:b/>
      <w:bCs/>
      <w:sz w:val="20"/>
      <w:szCs w:val="20"/>
    </w:rPr>
  </w:style>
  <w:style w:type="character" w:customStyle="1" w:styleId="apple-converted-space">
    <w:name w:val="apple-converted-space"/>
    <w:basedOn w:val="Fuentedeprrafopredeter"/>
    <w:rsid w:val="00847000"/>
  </w:style>
  <w:style w:type="character" w:styleId="Hipervnculo">
    <w:name w:val="Hyperlink"/>
    <w:basedOn w:val="Fuentedeprrafopredeter"/>
    <w:uiPriority w:val="99"/>
    <w:semiHidden/>
    <w:unhideWhenUsed/>
    <w:rsid w:val="008470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0C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0C68"/>
    <w:rPr>
      <w:rFonts w:ascii="Tahoma" w:hAnsi="Tahoma" w:cs="Tahoma"/>
      <w:sz w:val="16"/>
      <w:szCs w:val="16"/>
    </w:rPr>
  </w:style>
  <w:style w:type="table" w:styleId="Tablaconcuadrcula">
    <w:name w:val="Table Grid"/>
    <w:basedOn w:val="Tablanormal"/>
    <w:rsid w:val="00CD0C68"/>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CD0C68"/>
    <w:rPr>
      <w:rFonts w:ascii="Times New Roman" w:hAnsi="Times New Roman" w:cs="Times New Roman"/>
      <w:sz w:val="24"/>
      <w:szCs w:val="24"/>
    </w:rPr>
  </w:style>
  <w:style w:type="paragraph" w:styleId="Prrafodelista">
    <w:name w:val="List Paragraph"/>
    <w:basedOn w:val="Normal"/>
    <w:uiPriority w:val="34"/>
    <w:qFormat/>
    <w:rsid w:val="00CD0C68"/>
    <w:pPr>
      <w:ind w:left="720"/>
      <w:contextualSpacing/>
    </w:pPr>
  </w:style>
  <w:style w:type="paragraph" w:customStyle="1" w:styleId="DaHrO">
    <w:name w:val="DaHrO"/>
    <w:basedOn w:val="Asuntodelcomentario"/>
    <w:link w:val="DaHrOCar"/>
    <w:qFormat/>
    <w:rsid w:val="004601DD"/>
    <w:pPr>
      <w:spacing w:after="0" w:line="360" w:lineRule="auto"/>
      <w:ind w:right="51"/>
      <w:jc w:val="both"/>
    </w:pPr>
    <w:rPr>
      <w:rFonts w:ascii="Arial" w:eastAsia="Calibri" w:hAnsi="Arial" w:cs="Times New Roman"/>
      <w:b w:val="0"/>
      <w:color w:val="262626"/>
      <w:sz w:val="22"/>
      <w:szCs w:val="24"/>
      <w:lang w:val="es-ES"/>
    </w:rPr>
  </w:style>
  <w:style w:type="character" w:customStyle="1" w:styleId="DaHrOCar">
    <w:name w:val="DaHrO Car"/>
    <w:basedOn w:val="Fuentedeprrafopredeter"/>
    <w:link w:val="DaHrO"/>
    <w:rsid w:val="004601DD"/>
    <w:rPr>
      <w:rFonts w:ascii="Arial" w:eastAsia="Calibri" w:hAnsi="Arial" w:cs="Times New Roman"/>
      <w:bCs/>
      <w:color w:val="262626"/>
      <w:szCs w:val="24"/>
      <w:lang w:val="es-ES"/>
    </w:rPr>
  </w:style>
  <w:style w:type="paragraph" w:styleId="Textocomentario">
    <w:name w:val="annotation text"/>
    <w:basedOn w:val="Normal"/>
    <w:link w:val="TextocomentarioCar"/>
    <w:uiPriority w:val="99"/>
    <w:semiHidden/>
    <w:unhideWhenUsed/>
    <w:rsid w:val="004601D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601DD"/>
    <w:rPr>
      <w:sz w:val="20"/>
      <w:szCs w:val="20"/>
    </w:rPr>
  </w:style>
  <w:style w:type="paragraph" w:styleId="Asuntodelcomentario">
    <w:name w:val="annotation subject"/>
    <w:basedOn w:val="Textocomentario"/>
    <w:next w:val="Textocomentario"/>
    <w:link w:val="AsuntodelcomentarioCar"/>
    <w:uiPriority w:val="99"/>
    <w:semiHidden/>
    <w:unhideWhenUsed/>
    <w:rsid w:val="004601DD"/>
    <w:rPr>
      <w:b/>
      <w:bCs/>
    </w:rPr>
  </w:style>
  <w:style w:type="character" w:customStyle="1" w:styleId="AsuntodelcomentarioCar">
    <w:name w:val="Asunto del comentario Car"/>
    <w:basedOn w:val="TextocomentarioCar"/>
    <w:link w:val="Asuntodelcomentario"/>
    <w:uiPriority w:val="99"/>
    <w:semiHidden/>
    <w:rsid w:val="004601DD"/>
    <w:rPr>
      <w:b/>
      <w:bCs/>
      <w:sz w:val="20"/>
      <w:szCs w:val="20"/>
    </w:rPr>
  </w:style>
  <w:style w:type="character" w:customStyle="1" w:styleId="apple-converted-space">
    <w:name w:val="apple-converted-space"/>
    <w:basedOn w:val="Fuentedeprrafopredeter"/>
    <w:rsid w:val="00847000"/>
  </w:style>
  <w:style w:type="character" w:styleId="Hipervnculo">
    <w:name w:val="Hyperlink"/>
    <w:basedOn w:val="Fuentedeprrafopredeter"/>
    <w:uiPriority w:val="99"/>
    <w:semiHidden/>
    <w:unhideWhenUsed/>
    <w:rsid w:val="008470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088881">
      <w:bodyDiv w:val="1"/>
      <w:marLeft w:val="0"/>
      <w:marRight w:val="0"/>
      <w:marTop w:val="0"/>
      <w:marBottom w:val="0"/>
      <w:divBdr>
        <w:top w:val="none" w:sz="0" w:space="0" w:color="auto"/>
        <w:left w:val="none" w:sz="0" w:space="0" w:color="auto"/>
        <w:bottom w:val="none" w:sz="0" w:space="0" w:color="auto"/>
        <w:right w:val="none" w:sz="0" w:space="0" w:color="auto"/>
      </w:divBdr>
    </w:div>
    <w:div w:id="136957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2.wdp"/><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marojas30@hotmail.com" TargetMode="External"/><Relationship Id="rId12" Type="http://schemas.openxmlformats.org/officeDocument/2006/relationships/image" Target="media/image5.png"/><Relationship Id="rId17" Type="http://schemas.openxmlformats.org/officeDocument/2006/relationships/hyperlink" Target="http://www.who.int/mediacentre/factsheets/fs297/es/index.html" TargetMode="External"/><Relationship Id="rId2" Type="http://schemas.openxmlformats.org/officeDocument/2006/relationships/styles" Target="styles.xml"/><Relationship Id="rId16" Type="http://schemas.openxmlformats.org/officeDocument/2006/relationships/hyperlink" Target="http://www.coespomor.gob.mx/salud/cancer_prostata.pdf" TargetMode="Externa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2183</Words>
  <Characters>12012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2015-04-14T06:53:00Z</dcterms:created>
  <dcterms:modified xsi:type="dcterms:W3CDTF">2015-04-14T06:55:00Z</dcterms:modified>
</cp:coreProperties>
</file>