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83" w:rsidRPr="00CC3695" w:rsidRDefault="00BC4483" w:rsidP="00CC3695">
      <w:pPr>
        <w:pStyle w:val="Textoindependiente"/>
        <w:rPr>
          <w:rFonts w:ascii="Arial" w:hAnsi="Arial" w:cs="Arial"/>
          <w:sz w:val="20"/>
        </w:rPr>
      </w:pPr>
    </w:p>
    <w:p w:rsidR="00BC4483" w:rsidRPr="00CC3695" w:rsidRDefault="00BC4483" w:rsidP="00CC3695">
      <w:pPr>
        <w:pStyle w:val="Textoindependiente"/>
        <w:jc w:val="right"/>
        <w:rPr>
          <w:rFonts w:ascii="Arial" w:hAnsi="Arial" w:cs="Arial"/>
          <w:sz w:val="20"/>
        </w:rPr>
      </w:pPr>
    </w:p>
    <w:p w:rsidR="0097467D" w:rsidRPr="00CC3695" w:rsidRDefault="0097467D" w:rsidP="00CC3695">
      <w:pPr>
        <w:pStyle w:val="Textoindependiente"/>
        <w:jc w:val="right"/>
        <w:rPr>
          <w:rFonts w:ascii="Arial" w:hAnsi="Arial" w:cs="Arial"/>
          <w:sz w:val="20"/>
        </w:rPr>
      </w:pPr>
    </w:p>
    <w:p w:rsidR="003B3B89" w:rsidRPr="00CC3695" w:rsidRDefault="003B3B89" w:rsidP="00CC3695">
      <w:pPr>
        <w:pStyle w:val="Ttulo1"/>
        <w:spacing w:before="0" w:line="240" w:lineRule="auto"/>
        <w:jc w:val="center"/>
        <w:rPr>
          <w:rFonts w:ascii="Arial" w:hAnsi="Arial" w:cs="Arial"/>
          <w:b/>
          <w:color w:val="auto"/>
          <w:sz w:val="20"/>
          <w:szCs w:val="20"/>
        </w:rPr>
      </w:pPr>
      <w:r w:rsidRPr="00CC3695">
        <w:rPr>
          <w:rFonts w:ascii="Arial" w:hAnsi="Arial" w:cs="Arial"/>
          <w:b/>
          <w:color w:val="auto"/>
          <w:sz w:val="20"/>
          <w:szCs w:val="20"/>
        </w:rPr>
        <w:t>Evaluación de la genotoxicidad de c</w:t>
      </w:r>
      <w:r w:rsidR="0081370B">
        <w:rPr>
          <w:rFonts w:ascii="Arial" w:hAnsi="Arial" w:cs="Arial"/>
          <w:b/>
          <w:color w:val="auto"/>
          <w:sz w:val="20"/>
          <w:szCs w:val="20"/>
        </w:rPr>
        <w:t xml:space="preserve">uatro </w:t>
      </w:r>
      <w:proofErr w:type="spellStart"/>
      <w:r w:rsidR="0081370B">
        <w:rPr>
          <w:rFonts w:ascii="Arial" w:hAnsi="Arial" w:cs="Arial"/>
          <w:b/>
          <w:color w:val="auto"/>
          <w:sz w:val="20"/>
          <w:szCs w:val="20"/>
        </w:rPr>
        <w:t>corticoesteroides</w:t>
      </w:r>
      <w:proofErr w:type="spellEnd"/>
      <w:r w:rsidR="0081370B">
        <w:rPr>
          <w:rFonts w:ascii="Arial" w:hAnsi="Arial" w:cs="Arial"/>
          <w:b/>
          <w:color w:val="auto"/>
          <w:sz w:val="20"/>
          <w:szCs w:val="20"/>
        </w:rPr>
        <w:t xml:space="preserve"> de uso </w:t>
      </w:r>
      <w:r w:rsidR="00A92667">
        <w:rPr>
          <w:rFonts w:ascii="Arial" w:hAnsi="Arial" w:cs="Arial"/>
          <w:b/>
          <w:color w:val="auto"/>
          <w:sz w:val="20"/>
          <w:szCs w:val="20"/>
        </w:rPr>
        <w:t xml:space="preserve">tópico </w:t>
      </w:r>
      <w:r w:rsidRPr="00CC3695">
        <w:rPr>
          <w:rFonts w:ascii="Arial" w:hAnsi="Arial" w:cs="Arial"/>
          <w:b/>
          <w:color w:val="auto"/>
          <w:sz w:val="20"/>
          <w:szCs w:val="20"/>
        </w:rPr>
        <w:t>mediante la prueba de micronúcleos en sangre periférica de ratón</w:t>
      </w:r>
    </w:p>
    <w:p w:rsidR="004E0973" w:rsidRPr="00CC3695" w:rsidRDefault="004E0973" w:rsidP="00CC3695">
      <w:pPr>
        <w:pStyle w:val="ecxmsonormal"/>
        <w:shd w:val="clear" w:color="auto" w:fill="FFFFFF"/>
        <w:spacing w:before="0" w:beforeAutospacing="0" w:after="0" w:afterAutospacing="0"/>
        <w:jc w:val="center"/>
        <w:rPr>
          <w:rFonts w:ascii="Arial" w:hAnsi="Arial" w:cs="Arial"/>
          <w:sz w:val="20"/>
          <w:szCs w:val="20"/>
        </w:rPr>
      </w:pPr>
    </w:p>
    <w:p w:rsidR="003B3B89" w:rsidRPr="00FC464B" w:rsidRDefault="003B3B89" w:rsidP="00CC3695">
      <w:pPr>
        <w:pStyle w:val="ecxmsonormal"/>
        <w:shd w:val="clear" w:color="auto" w:fill="FFFFFF"/>
        <w:spacing w:before="0" w:beforeAutospacing="0" w:after="0" w:afterAutospacing="0"/>
        <w:jc w:val="center"/>
        <w:rPr>
          <w:rFonts w:ascii="Arial" w:hAnsi="Arial" w:cs="Arial"/>
          <w:sz w:val="20"/>
          <w:szCs w:val="20"/>
        </w:rPr>
      </w:pPr>
      <w:r w:rsidRPr="00CC3695">
        <w:rPr>
          <w:rFonts w:ascii="Arial" w:hAnsi="Arial" w:cs="Arial"/>
          <w:sz w:val="20"/>
          <w:szCs w:val="20"/>
        </w:rPr>
        <w:t>Molina-Noyola</w:t>
      </w:r>
      <w:r w:rsidR="0016647E">
        <w:rPr>
          <w:rStyle w:val="apple-converted-space"/>
          <w:rFonts w:ascii="Arial" w:hAnsi="Arial" w:cs="Arial"/>
          <w:sz w:val="20"/>
          <w:szCs w:val="20"/>
        </w:rPr>
        <w:t> L.</w:t>
      </w:r>
      <w:r w:rsidRPr="00CC3695">
        <w:rPr>
          <w:rStyle w:val="apple-converted-space"/>
          <w:rFonts w:ascii="Arial" w:hAnsi="Arial" w:cs="Arial"/>
          <w:sz w:val="20"/>
          <w:szCs w:val="20"/>
        </w:rPr>
        <w:t xml:space="preserve">D. </w:t>
      </w:r>
      <w:r w:rsidRPr="00CC3695">
        <w:rPr>
          <w:rFonts w:ascii="Arial" w:hAnsi="Arial" w:cs="Arial"/>
          <w:sz w:val="20"/>
          <w:szCs w:val="20"/>
          <w:vertAlign w:val="superscript"/>
        </w:rPr>
        <w:t>a</w:t>
      </w:r>
      <w:r w:rsidRPr="00CC3695">
        <w:rPr>
          <w:rFonts w:ascii="Arial" w:hAnsi="Arial" w:cs="Arial"/>
          <w:sz w:val="20"/>
          <w:szCs w:val="20"/>
        </w:rPr>
        <w:t>, Valdez-Aburto P.</w:t>
      </w:r>
      <w:r w:rsidRPr="00CC3695">
        <w:rPr>
          <w:rStyle w:val="apple-converted-space"/>
          <w:rFonts w:ascii="Arial" w:hAnsi="Arial" w:cs="Arial"/>
          <w:sz w:val="20"/>
          <w:szCs w:val="20"/>
        </w:rPr>
        <w:t> </w:t>
      </w:r>
      <w:r w:rsidRPr="00CC3695">
        <w:rPr>
          <w:rFonts w:ascii="Arial" w:hAnsi="Arial" w:cs="Arial"/>
          <w:sz w:val="20"/>
          <w:szCs w:val="20"/>
          <w:vertAlign w:val="superscript"/>
        </w:rPr>
        <w:t>a</w:t>
      </w:r>
      <w:r w:rsidRPr="00CC3695">
        <w:rPr>
          <w:rFonts w:ascii="Arial" w:hAnsi="Arial" w:cs="Arial"/>
          <w:sz w:val="20"/>
          <w:szCs w:val="20"/>
        </w:rPr>
        <w:t xml:space="preserve">, Zavala-Cerna M. G. </w:t>
      </w:r>
      <w:r w:rsidRPr="00CC3695">
        <w:rPr>
          <w:rFonts w:ascii="Arial" w:hAnsi="Arial" w:cs="Arial"/>
          <w:sz w:val="20"/>
          <w:szCs w:val="20"/>
          <w:vertAlign w:val="superscript"/>
        </w:rPr>
        <w:t>a</w:t>
      </w:r>
      <w:r w:rsidRPr="00CC3695">
        <w:rPr>
          <w:rFonts w:ascii="Arial" w:hAnsi="Arial" w:cs="Arial"/>
          <w:sz w:val="20"/>
          <w:szCs w:val="20"/>
        </w:rPr>
        <w:t xml:space="preserve">, Ramos-Ibarra M. L. </w:t>
      </w:r>
      <w:r w:rsidRPr="00CC3695">
        <w:rPr>
          <w:rFonts w:ascii="Arial" w:hAnsi="Arial" w:cs="Arial"/>
          <w:sz w:val="20"/>
          <w:szCs w:val="20"/>
          <w:vertAlign w:val="superscript"/>
        </w:rPr>
        <w:t>a</w:t>
      </w:r>
      <w:r w:rsidRPr="00CC3695">
        <w:rPr>
          <w:rFonts w:ascii="Arial" w:hAnsi="Arial" w:cs="Arial"/>
          <w:sz w:val="20"/>
          <w:szCs w:val="20"/>
        </w:rPr>
        <w:t>, Lara-</w:t>
      </w:r>
      <w:r w:rsidRPr="00FC464B">
        <w:rPr>
          <w:rFonts w:ascii="Arial" w:hAnsi="Arial" w:cs="Arial"/>
          <w:sz w:val="20"/>
          <w:szCs w:val="20"/>
        </w:rPr>
        <w:t>Acevedo A. C.</w:t>
      </w:r>
      <w:r w:rsidRPr="00FC464B">
        <w:rPr>
          <w:rStyle w:val="apple-converted-space"/>
          <w:rFonts w:ascii="Arial" w:hAnsi="Arial" w:cs="Arial"/>
          <w:sz w:val="20"/>
          <w:szCs w:val="20"/>
        </w:rPr>
        <w:t> </w:t>
      </w:r>
      <w:r w:rsidRPr="00FC464B">
        <w:rPr>
          <w:rFonts w:ascii="Arial" w:hAnsi="Arial" w:cs="Arial"/>
          <w:sz w:val="20"/>
          <w:szCs w:val="20"/>
          <w:vertAlign w:val="superscript"/>
        </w:rPr>
        <w:t>b</w:t>
      </w:r>
      <w:r w:rsidRPr="00FC464B">
        <w:rPr>
          <w:rFonts w:ascii="Arial" w:hAnsi="Arial" w:cs="Arial"/>
          <w:sz w:val="20"/>
          <w:szCs w:val="20"/>
        </w:rPr>
        <w:t>, Herrera-Figueroa</w:t>
      </w:r>
      <w:r w:rsidRPr="00FC464B">
        <w:rPr>
          <w:rStyle w:val="apple-converted-space"/>
          <w:rFonts w:ascii="Arial" w:hAnsi="Arial" w:cs="Arial"/>
          <w:sz w:val="20"/>
          <w:szCs w:val="20"/>
        </w:rPr>
        <w:t xml:space="preserve"> J.A. </w:t>
      </w:r>
      <w:r w:rsidRPr="00FC464B">
        <w:rPr>
          <w:rFonts w:ascii="Arial" w:hAnsi="Arial" w:cs="Arial"/>
          <w:sz w:val="20"/>
          <w:szCs w:val="20"/>
          <w:vertAlign w:val="superscript"/>
        </w:rPr>
        <w:t>b</w:t>
      </w:r>
      <w:r w:rsidRPr="00FC464B">
        <w:rPr>
          <w:rFonts w:ascii="Arial" w:hAnsi="Arial" w:cs="Arial"/>
          <w:sz w:val="20"/>
          <w:szCs w:val="20"/>
        </w:rPr>
        <w:t>,</w:t>
      </w:r>
      <w:r w:rsidRPr="00FC464B">
        <w:rPr>
          <w:rStyle w:val="apple-converted-space"/>
          <w:rFonts w:ascii="Arial" w:hAnsi="Arial" w:cs="Arial"/>
          <w:sz w:val="20"/>
          <w:szCs w:val="20"/>
        </w:rPr>
        <w:t> </w:t>
      </w:r>
      <w:r w:rsidRPr="00FC464B">
        <w:rPr>
          <w:rFonts w:ascii="Arial" w:hAnsi="Arial" w:cs="Arial"/>
          <w:sz w:val="20"/>
          <w:szCs w:val="20"/>
        </w:rPr>
        <w:t>Flores-García A</w:t>
      </w:r>
      <w:r w:rsidR="00796ABA" w:rsidRPr="00FC464B">
        <w:rPr>
          <w:rFonts w:ascii="Arial" w:hAnsi="Arial" w:cs="Arial"/>
          <w:sz w:val="20"/>
          <w:szCs w:val="20"/>
          <w:vertAlign w:val="superscript"/>
        </w:rPr>
        <w:t xml:space="preserve"> b</w:t>
      </w:r>
      <w:r w:rsidR="00FC464B" w:rsidRPr="00FC464B">
        <w:rPr>
          <w:rFonts w:ascii="Arial" w:hAnsi="Arial" w:cs="Arial"/>
          <w:sz w:val="20"/>
          <w:szCs w:val="20"/>
        </w:rPr>
        <w:t>,</w:t>
      </w:r>
      <w:r w:rsidR="00796ABA" w:rsidRPr="00FC464B">
        <w:rPr>
          <w:rFonts w:ascii="Arial" w:hAnsi="Arial" w:cs="Arial"/>
          <w:sz w:val="20"/>
          <w:szCs w:val="20"/>
        </w:rPr>
        <w:t xml:space="preserve"> Torres-Bugarín</w:t>
      </w:r>
      <w:r w:rsidR="00796ABA" w:rsidRPr="00FC464B">
        <w:rPr>
          <w:rStyle w:val="apple-converted-space"/>
          <w:rFonts w:ascii="Arial" w:hAnsi="Arial" w:cs="Arial"/>
          <w:sz w:val="20"/>
          <w:szCs w:val="20"/>
        </w:rPr>
        <w:t xml:space="preserve"> O. </w:t>
      </w:r>
      <w:r w:rsidR="00FC464B" w:rsidRPr="00FC464B">
        <w:rPr>
          <w:rFonts w:ascii="Arial" w:hAnsi="Arial" w:cs="Arial"/>
          <w:sz w:val="20"/>
          <w:szCs w:val="20"/>
          <w:vertAlign w:val="superscript"/>
        </w:rPr>
        <w:t>a</w:t>
      </w:r>
      <w:r w:rsidR="00FC464B" w:rsidRPr="00FC464B">
        <w:rPr>
          <w:rStyle w:val="apple-converted-space"/>
          <w:rFonts w:ascii="Arial" w:hAnsi="Arial" w:cs="Arial"/>
          <w:sz w:val="20"/>
          <w:szCs w:val="20"/>
        </w:rPr>
        <w:t>.</w:t>
      </w:r>
    </w:p>
    <w:p w:rsidR="004E0973" w:rsidRPr="00FC464B" w:rsidRDefault="004E0973" w:rsidP="00CC3695">
      <w:pPr>
        <w:pStyle w:val="Sinespaciado"/>
        <w:jc w:val="both"/>
        <w:rPr>
          <w:rFonts w:ascii="Arial" w:hAnsi="Arial" w:cs="Arial"/>
          <w:sz w:val="20"/>
          <w:szCs w:val="20"/>
          <w:vertAlign w:val="superscript"/>
        </w:rPr>
      </w:pPr>
    </w:p>
    <w:p w:rsidR="004E0973" w:rsidRPr="00CC3695" w:rsidRDefault="004E0973" w:rsidP="00CC3695">
      <w:pPr>
        <w:pStyle w:val="Sinespaciado"/>
        <w:jc w:val="both"/>
        <w:rPr>
          <w:rFonts w:ascii="Arial" w:hAnsi="Arial" w:cs="Arial"/>
          <w:sz w:val="20"/>
          <w:szCs w:val="20"/>
        </w:rPr>
      </w:pPr>
      <w:proofErr w:type="gramStart"/>
      <w:r w:rsidRPr="00FC464B">
        <w:rPr>
          <w:rFonts w:ascii="Arial" w:hAnsi="Arial" w:cs="Arial"/>
          <w:sz w:val="20"/>
          <w:szCs w:val="20"/>
          <w:vertAlign w:val="superscript"/>
        </w:rPr>
        <w:t>a</w:t>
      </w:r>
      <w:proofErr w:type="gramEnd"/>
      <w:r w:rsidRPr="00FC464B">
        <w:rPr>
          <w:rFonts w:ascii="Arial" w:hAnsi="Arial" w:cs="Arial"/>
          <w:sz w:val="20"/>
          <w:szCs w:val="20"/>
        </w:rPr>
        <w:t xml:space="preserve"> </w:t>
      </w:r>
      <w:r w:rsidRPr="00FC464B">
        <w:rPr>
          <w:rFonts w:ascii="Arial" w:hAnsi="Arial" w:cs="Arial"/>
          <w:sz w:val="20"/>
          <w:szCs w:val="20"/>
          <w:shd w:val="clear" w:color="auto" w:fill="FFFFFF"/>
        </w:rPr>
        <w:t>Facultad de Medicina, Universidad Autónoma de Guadalajara,</w:t>
      </w:r>
      <w:r w:rsidRPr="00FC464B">
        <w:rPr>
          <w:rFonts w:ascii="Arial" w:hAnsi="Arial" w:cs="Arial"/>
          <w:sz w:val="20"/>
          <w:szCs w:val="20"/>
        </w:rPr>
        <w:t xml:space="preserve"> Av. Juan Palomar Arias 44670, Guadalajara, JAL. CP45100. daniel_mn123@hotmail.com, penelopeval_1@hotmail.com, oliviatorres@hotmail.com, g_zavala</w:t>
      </w:r>
      <w:r w:rsidRPr="00CC3695">
        <w:rPr>
          <w:rFonts w:ascii="Arial" w:hAnsi="Arial" w:cs="Arial"/>
          <w:sz w:val="20"/>
          <w:szCs w:val="20"/>
        </w:rPr>
        <w:t>_78@hotmail.com, affloresg@gmail.com.</w:t>
      </w:r>
    </w:p>
    <w:p w:rsidR="004E0973" w:rsidRPr="00CC3695" w:rsidRDefault="004E0973" w:rsidP="00CC3695">
      <w:pPr>
        <w:pStyle w:val="Sinespaciado"/>
        <w:jc w:val="both"/>
        <w:rPr>
          <w:rFonts w:ascii="Arial" w:hAnsi="Arial" w:cs="Arial"/>
          <w:sz w:val="20"/>
          <w:szCs w:val="20"/>
        </w:rPr>
      </w:pPr>
      <w:proofErr w:type="gramStart"/>
      <w:r w:rsidRPr="00CC3695">
        <w:rPr>
          <w:rFonts w:ascii="Arial" w:hAnsi="Arial" w:cs="Arial"/>
          <w:sz w:val="20"/>
          <w:szCs w:val="20"/>
          <w:vertAlign w:val="superscript"/>
        </w:rPr>
        <w:t>b</w:t>
      </w:r>
      <w:proofErr w:type="gramEnd"/>
      <w:r w:rsidRPr="00CC3695">
        <w:rPr>
          <w:rStyle w:val="apple-converted-space"/>
          <w:rFonts w:ascii="Arial" w:hAnsi="Arial" w:cs="Arial"/>
          <w:sz w:val="20"/>
          <w:szCs w:val="20"/>
          <w:vertAlign w:val="superscript"/>
        </w:rPr>
        <w:t> </w:t>
      </w:r>
      <w:r w:rsidRPr="00CC3695">
        <w:rPr>
          <w:rFonts w:ascii="Arial" w:hAnsi="Arial" w:cs="Arial"/>
          <w:sz w:val="20"/>
          <w:szCs w:val="20"/>
          <w:shd w:val="clear" w:color="auto" w:fill="FFFFFF"/>
        </w:rPr>
        <w:t>Universidad Autónoma de Nayarit, Universidad de la Cultura Amado Nervo S/N, Tepic, NAY. C.P. 63001.</w:t>
      </w:r>
      <w:r w:rsidRPr="00CC3695">
        <w:rPr>
          <w:rFonts w:ascii="Arial" w:hAnsi="Arial" w:cs="Arial"/>
          <w:sz w:val="20"/>
          <w:szCs w:val="20"/>
        </w:rPr>
        <w:t xml:space="preserve"> lara_acevedo@hotmail.com, georgeponcho@hotmail.com.</w:t>
      </w:r>
    </w:p>
    <w:p w:rsidR="003B3B89" w:rsidRPr="00CC3695" w:rsidRDefault="003B3B89" w:rsidP="00CC3695">
      <w:pPr>
        <w:pStyle w:val="BodyofPaper"/>
        <w:jc w:val="right"/>
        <w:rPr>
          <w:rFonts w:ascii="Arial" w:hAnsi="Arial" w:cs="Arial"/>
          <w:lang w:val="es-MX"/>
        </w:rPr>
      </w:pPr>
    </w:p>
    <w:p w:rsidR="004E0973" w:rsidRPr="00CC3695" w:rsidRDefault="004E0973" w:rsidP="00CC3695">
      <w:pPr>
        <w:pStyle w:val="BodyofPaper"/>
        <w:jc w:val="right"/>
        <w:rPr>
          <w:rFonts w:ascii="Arial" w:hAnsi="Arial" w:cs="Arial"/>
          <w:lang w:val="es-MX"/>
        </w:rPr>
      </w:pPr>
    </w:p>
    <w:p w:rsidR="004E0973" w:rsidRPr="00FC003D" w:rsidRDefault="004E0973" w:rsidP="00CC3695">
      <w:pPr>
        <w:pStyle w:val="Sinespaciado"/>
        <w:jc w:val="both"/>
        <w:rPr>
          <w:rFonts w:ascii="Arial" w:hAnsi="Arial" w:cs="Arial"/>
          <w:b/>
          <w:sz w:val="20"/>
          <w:szCs w:val="20"/>
        </w:rPr>
      </w:pPr>
      <w:r w:rsidRPr="00FC003D">
        <w:rPr>
          <w:rFonts w:ascii="Arial" w:hAnsi="Arial" w:cs="Arial"/>
          <w:b/>
          <w:sz w:val="20"/>
          <w:szCs w:val="20"/>
        </w:rPr>
        <w:t>RESUMEN</w:t>
      </w:r>
    </w:p>
    <w:p w:rsidR="004E0973" w:rsidRPr="00CC3695" w:rsidRDefault="00B24164" w:rsidP="00CC3695">
      <w:pPr>
        <w:pStyle w:val="Sinespaciado"/>
        <w:jc w:val="both"/>
        <w:rPr>
          <w:rFonts w:ascii="Arial" w:hAnsi="Arial" w:cs="Arial"/>
          <w:sz w:val="20"/>
          <w:szCs w:val="20"/>
        </w:rPr>
      </w:pPr>
      <w:r w:rsidRPr="00FC003D">
        <w:rPr>
          <w:rFonts w:ascii="Arial" w:hAnsi="Arial" w:cs="Arial"/>
          <w:b/>
          <w:sz w:val="20"/>
          <w:szCs w:val="20"/>
        </w:rPr>
        <w:t xml:space="preserve">INTRODUCCIÓN: </w:t>
      </w:r>
      <w:r w:rsidR="00237332">
        <w:rPr>
          <w:rFonts w:ascii="Arial" w:hAnsi="Arial" w:cs="Arial"/>
          <w:sz w:val="20"/>
          <w:szCs w:val="20"/>
        </w:rPr>
        <w:t xml:space="preserve">La piel es una barrera </w:t>
      </w:r>
      <w:r w:rsidR="004E0973" w:rsidRPr="00CC3695">
        <w:rPr>
          <w:rFonts w:ascii="Arial" w:hAnsi="Arial" w:cs="Arial"/>
          <w:sz w:val="20"/>
          <w:szCs w:val="20"/>
        </w:rPr>
        <w:t xml:space="preserve">que se encuentra expuesta a mutágenos y carcinógenos, como los fármacos. Los </w:t>
      </w:r>
      <w:proofErr w:type="spellStart"/>
      <w:r w:rsidR="004E0973" w:rsidRPr="00CC3695">
        <w:rPr>
          <w:rFonts w:ascii="Arial" w:hAnsi="Arial" w:cs="Arial"/>
          <w:sz w:val="20"/>
          <w:szCs w:val="20"/>
        </w:rPr>
        <w:t>corticoesteroides</w:t>
      </w:r>
      <w:proofErr w:type="spellEnd"/>
      <w:r w:rsidR="004E0973" w:rsidRPr="00CC3695">
        <w:rPr>
          <w:rFonts w:ascii="Arial" w:hAnsi="Arial" w:cs="Arial"/>
          <w:sz w:val="20"/>
          <w:szCs w:val="20"/>
        </w:rPr>
        <w:t xml:space="preserve"> administrados vía tópica s</w:t>
      </w:r>
      <w:r w:rsidR="00237332">
        <w:rPr>
          <w:rFonts w:ascii="Arial" w:hAnsi="Arial" w:cs="Arial"/>
          <w:sz w:val="20"/>
          <w:szCs w:val="20"/>
        </w:rPr>
        <w:t xml:space="preserve">on frecuentemente prescritos y </w:t>
      </w:r>
      <w:r w:rsidR="004E0973" w:rsidRPr="00CC3695">
        <w:rPr>
          <w:rFonts w:ascii="Arial" w:hAnsi="Arial" w:cs="Arial"/>
          <w:sz w:val="20"/>
          <w:szCs w:val="20"/>
        </w:rPr>
        <w:t>al aplicarlos se adhieren a los queratinocitos y se liberan en 24 horas. Actúan sobre receptores celulare</w:t>
      </w:r>
      <w:r w:rsidR="00237332">
        <w:rPr>
          <w:rFonts w:ascii="Arial" w:hAnsi="Arial" w:cs="Arial"/>
          <w:sz w:val="20"/>
          <w:szCs w:val="20"/>
        </w:rPr>
        <w:t xml:space="preserve">s </w:t>
      </w:r>
      <w:proofErr w:type="spellStart"/>
      <w:r w:rsidR="00237332">
        <w:rPr>
          <w:rFonts w:ascii="Arial" w:hAnsi="Arial" w:cs="Arial"/>
          <w:sz w:val="20"/>
          <w:szCs w:val="20"/>
        </w:rPr>
        <w:t>citosólicos</w:t>
      </w:r>
      <w:proofErr w:type="spellEnd"/>
      <w:r w:rsidR="00237332">
        <w:rPr>
          <w:rFonts w:ascii="Arial" w:hAnsi="Arial" w:cs="Arial"/>
          <w:sz w:val="20"/>
          <w:szCs w:val="20"/>
        </w:rPr>
        <w:t xml:space="preserve">, y nucleares e </w:t>
      </w:r>
      <w:r w:rsidR="004E0973" w:rsidRPr="00CC3695">
        <w:rPr>
          <w:rFonts w:ascii="Arial" w:hAnsi="Arial" w:cs="Arial"/>
          <w:sz w:val="20"/>
          <w:szCs w:val="20"/>
        </w:rPr>
        <w:t xml:space="preserve">inducen </w:t>
      </w:r>
      <w:proofErr w:type="spellStart"/>
      <w:r w:rsidR="004E0973" w:rsidRPr="00CC3695">
        <w:rPr>
          <w:rFonts w:ascii="Arial" w:hAnsi="Arial" w:cs="Arial"/>
          <w:sz w:val="20"/>
          <w:szCs w:val="20"/>
        </w:rPr>
        <w:t>lipocortinas</w:t>
      </w:r>
      <w:proofErr w:type="spellEnd"/>
      <w:r w:rsidR="004E0973" w:rsidRPr="00CC3695">
        <w:rPr>
          <w:rFonts w:ascii="Arial" w:hAnsi="Arial" w:cs="Arial"/>
          <w:sz w:val="20"/>
          <w:szCs w:val="20"/>
        </w:rPr>
        <w:t xml:space="preserve"> que tienen acción </w:t>
      </w:r>
      <w:proofErr w:type="spellStart"/>
      <w:r w:rsidR="004E0973" w:rsidRPr="00CC3695">
        <w:rPr>
          <w:rFonts w:ascii="Arial" w:hAnsi="Arial" w:cs="Arial"/>
          <w:sz w:val="20"/>
          <w:szCs w:val="20"/>
        </w:rPr>
        <w:t>antifosfolipasa</w:t>
      </w:r>
      <w:proofErr w:type="spellEnd"/>
      <w:r w:rsidR="004E0973" w:rsidRPr="00CC3695">
        <w:rPr>
          <w:rFonts w:ascii="Arial" w:hAnsi="Arial" w:cs="Arial"/>
          <w:sz w:val="20"/>
          <w:szCs w:val="20"/>
        </w:rPr>
        <w:t xml:space="preserve"> A2, inhiben </w:t>
      </w:r>
      <w:proofErr w:type="spellStart"/>
      <w:r w:rsidR="004E0973" w:rsidRPr="00CC3695">
        <w:rPr>
          <w:rFonts w:ascii="Arial" w:hAnsi="Arial" w:cs="Arial"/>
          <w:sz w:val="20"/>
          <w:szCs w:val="20"/>
        </w:rPr>
        <w:t>citocinas</w:t>
      </w:r>
      <w:proofErr w:type="spellEnd"/>
      <w:r w:rsidR="004E0973" w:rsidRPr="00CC3695">
        <w:rPr>
          <w:rFonts w:ascii="Arial" w:hAnsi="Arial" w:cs="Arial"/>
          <w:sz w:val="20"/>
          <w:szCs w:val="20"/>
        </w:rPr>
        <w:t xml:space="preserve"> </w:t>
      </w:r>
      <w:r w:rsidR="00237332" w:rsidRPr="003F44F1">
        <w:rPr>
          <w:rFonts w:ascii="Arial" w:hAnsi="Arial" w:cs="Arial"/>
          <w:sz w:val="20"/>
          <w:szCs w:val="20"/>
        </w:rPr>
        <w:t>esto</w:t>
      </w:r>
      <w:r w:rsidR="003F44F1">
        <w:rPr>
          <w:rFonts w:ascii="Arial" w:hAnsi="Arial" w:cs="Arial"/>
          <w:sz w:val="20"/>
          <w:szCs w:val="20"/>
        </w:rPr>
        <w:t xml:space="preserve"> </w:t>
      </w:r>
      <w:r w:rsidR="004E0973" w:rsidRPr="003F44F1">
        <w:rPr>
          <w:rFonts w:ascii="Arial" w:hAnsi="Arial" w:cs="Arial"/>
          <w:sz w:val="20"/>
          <w:szCs w:val="20"/>
        </w:rPr>
        <w:t>i</w:t>
      </w:r>
      <w:r w:rsidR="004E0973" w:rsidRPr="00CC3695">
        <w:rPr>
          <w:rFonts w:ascii="Arial" w:hAnsi="Arial" w:cs="Arial"/>
          <w:sz w:val="20"/>
          <w:szCs w:val="20"/>
        </w:rPr>
        <w:t xml:space="preserve">nduce </w:t>
      </w:r>
      <w:r w:rsidR="00237332" w:rsidRPr="00CC3695">
        <w:rPr>
          <w:rFonts w:ascii="Arial" w:hAnsi="Arial" w:cs="Arial"/>
          <w:sz w:val="20"/>
          <w:szCs w:val="20"/>
        </w:rPr>
        <w:t>acción</w:t>
      </w:r>
      <w:r w:rsidR="004E0973" w:rsidRPr="00CC3695">
        <w:rPr>
          <w:rFonts w:ascii="Arial" w:hAnsi="Arial" w:cs="Arial"/>
          <w:sz w:val="20"/>
          <w:szCs w:val="20"/>
        </w:rPr>
        <w:t xml:space="preserve"> antiinflamatoria, vasoconstrictora, </w:t>
      </w:r>
      <w:proofErr w:type="spellStart"/>
      <w:r w:rsidR="004E0973" w:rsidRPr="00CC3695">
        <w:rPr>
          <w:rFonts w:ascii="Arial" w:hAnsi="Arial" w:cs="Arial"/>
          <w:sz w:val="20"/>
          <w:szCs w:val="20"/>
        </w:rPr>
        <w:t>antiproliferativa</w:t>
      </w:r>
      <w:proofErr w:type="spellEnd"/>
      <w:r w:rsidR="004E0973" w:rsidRPr="00CC3695">
        <w:rPr>
          <w:rFonts w:ascii="Arial" w:hAnsi="Arial" w:cs="Arial"/>
          <w:sz w:val="20"/>
          <w:szCs w:val="20"/>
        </w:rPr>
        <w:t xml:space="preserve"> e inmunosupresora, </w:t>
      </w:r>
      <w:r w:rsidR="004E0973" w:rsidRPr="003F44F1">
        <w:rPr>
          <w:rFonts w:ascii="Arial" w:hAnsi="Arial" w:cs="Arial"/>
          <w:sz w:val="20"/>
          <w:szCs w:val="20"/>
        </w:rPr>
        <w:t>lo que</w:t>
      </w:r>
      <w:r w:rsidR="004E0973" w:rsidRPr="00CC3695">
        <w:rPr>
          <w:rFonts w:ascii="Arial" w:hAnsi="Arial" w:cs="Arial"/>
          <w:sz w:val="20"/>
          <w:szCs w:val="20"/>
        </w:rPr>
        <w:t xml:space="preserve"> genera  utilidad y los efectos secundarios</w:t>
      </w:r>
      <w:r w:rsidR="004E0973" w:rsidRPr="009571E1">
        <w:rPr>
          <w:rFonts w:ascii="Arial" w:hAnsi="Arial" w:cs="Arial"/>
          <w:color w:val="000000" w:themeColor="text1"/>
          <w:sz w:val="20"/>
          <w:szCs w:val="20"/>
        </w:rPr>
        <w:t>.</w:t>
      </w:r>
      <w:r w:rsidR="00237332" w:rsidRPr="009571E1">
        <w:rPr>
          <w:rFonts w:ascii="Arial" w:hAnsi="Arial" w:cs="Arial"/>
          <w:color w:val="000000" w:themeColor="text1"/>
          <w:sz w:val="20"/>
          <w:szCs w:val="20"/>
        </w:rPr>
        <w:t>, la</w:t>
      </w:r>
      <w:r w:rsidR="00BA6AC2">
        <w:rPr>
          <w:rFonts w:ascii="Arial" w:hAnsi="Arial" w:cs="Arial"/>
          <w:color w:val="FF0000"/>
          <w:sz w:val="20"/>
          <w:szCs w:val="20"/>
        </w:rPr>
        <w:t xml:space="preserve"> </w:t>
      </w:r>
      <w:r w:rsidR="004E0973" w:rsidRPr="00CC3695">
        <w:rPr>
          <w:rFonts w:ascii="Arial" w:hAnsi="Arial" w:cs="Arial"/>
          <w:sz w:val="20"/>
          <w:szCs w:val="20"/>
        </w:rPr>
        <w:t xml:space="preserve">información sobre la genotoxicidad de </w:t>
      </w:r>
      <w:proofErr w:type="spellStart"/>
      <w:r w:rsidR="004E0973" w:rsidRPr="00CC3695">
        <w:rPr>
          <w:rFonts w:ascii="Arial" w:hAnsi="Arial" w:cs="Arial"/>
          <w:sz w:val="20"/>
          <w:szCs w:val="20"/>
        </w:rPr>
        <w:t>corticoesteroides</w:t>
      </w:r>
      <w:proofErr w:type="spellEnd"/>
      <w:r w:rsidR="004E0973" w:rsidRPr="00CC3695">
        <w:rPr>
          <w:rFonts w:ascii="Arial" w:hAnsi="Arial" w:cs="Arial"/>
          <w:sz w:val="20"/>
          <w:szCs w:val="20"/>
        </w:rPr>
        <w:t xml:space="preserve"> tópicos es escasa. </w:t>
      </w:r>
      <w:r w:rsidRPr="00FC003D">
        <w:rPr>
          <w:rFonts w:ascii="Arial" w:hAnsi="Arial" w:cs="Arial"/>
          <w:b/>
          <w:sz w:val="20"/>
          <w:szCs w:val="20"/>
        </w:rPr>
        <w:t xml:space="preserve">METODOLOGÍA: </w:t>
      </w:r>
      <w:r w:rsidR="004E0973" w:rsidRPr="00CC3695">
        <w:rPr>
          <w:rFonts w:ascii="Arial" w:hAnsi="Arial" w:cs="Arial"/>
          <w:sz w:val="20"/>
          <w:szCs w:val="20"/>
        </w:rPr>
        <w:t>Se formaron 13 grupos con 6 ratones machos (</w:t>
      </w:r>
      <w:proofErr w:type="spellStart"/>
      <w:r w:rsidR="004E0973" w:rsidRPr="00CC3695">
        <w:rPr>
          <w:rFonts w:ascii="Arial" w:hAnsi="Arial" w:cs="Arial"/>
          <w:sz w:val="20"/>
          <w:szCs w:val="20"/>
        </w:rPr>
        <w:t>Balb</w:t>
      </w:r>
      <w:proofErr w:type="spellEnd"/>
      <w:r w:rsidR="004E0973" w:rsidRPr="00CC3695">
        <w:rPr>
          <w:rFonts w:ascii="Arial" w:hAnsi="Arial" w:cs="Arial"/>
          <w:sz w:val="20"/>
          <w:szCs w:val="20"/>
        </w:rPr>
        <w:t xml:space="preserve">-C): 1) </w:t>
      </w:r>
      <w:proofErr w:type="spellStart"/>
      <w:r w:rsidR="004E0973" w:rsidRPr="00CC3695">
        <w:rPr>
          <w:rFonts w:ascii="Arial" w:hAnsi="Arial" w:cs="Arial"/>
          <w:sz w:val="20"/>
          <w:szCs w:val="20"/>
        </w:rPr>
        <w:t>petrolato</w:t>
      </w:r>
      <w:proofErr w:type="spellEnd"/>
      <w:r w:rsidR="004E0973" w:rsidRPr="00CC3695">
        <w:rPr>
          <w:rFonts w:ascii="Arial" w:hAnsi="Arial" w:cs="Arial"/>
          <w:sz w:val="20"/>
          <w:szCs w:val="20"/>
        </w:rPr>
        <w:t xml:space="preserve">, 300 mg,  del 2-13) se les aplicó tres dosis de crema 300, 150 y 75 mg; 2-4) Hidrocortisona 1%, 5-7) Betametasona, 8-10) Metilprednisolona y 11-13) </w:t>
      </w:r>
      <w:proofErr w:type="spellStart"/>
      <w:r w:rsidR="004E0973" w:rsidRPr="00CC3695">
        <w:rPr>
          <w:rFonts w:ascii="Arial" w:hAnsi="Arial" w:cs="Arial"/>
          <w:sz w:val="20"/>
          <w:szCs w:val="20"/>
        </w:rPr>
        <w:t>Clobetasol.Se</w:t>
      </w:r>
      <w:proofErr w:type="spellEnd"/>
      <w:r w:rsidR="004E0973" w:rsidRPr="00CC3695">
        <w:rPr>
          <w:rFonts w:ascii="Arial" w:hAnsi="Arial" w:cs="Arial"/>
          <w:sz w:val="20"/>
          <w:szCs w:val="20"/>
        </w:rPr>
        <w:t xml:space="preserve"> rasuro la espalda de cada ratón (2cm</w:t>
      </w:r>
      <w:r w:rsidR="004E0973" w:rsidRPr="00CC3695">
        <w:rPr>
          <w:rFonts w:ascii="Arial" w:hAnsi="Arial" w:cs="Arial"/>
          <w:sz w:val="20"/>
          <w:szCs w:val="20"/>
          <w:vertAlign w:val="superscript"/>
        </w:rPr>
        <w:t>2</w:t>
      </w:r>
      <w:r w:rsidR="004E0973" w:rsidRPr="00CC3695">
        <w:rPr>
          <w:rFonts w:ascii="Arial" w:hAnsi="Arial" w:cs="Arial"/>
          <w:sz w:val="20"/>
          <w:szCs w:val="20"/>
        </w:rPr>
        <w:t xml:space="preserve">), se administró el compuesto cada 24h/5 días, se tomó una gota de sangre de la punta de la cola por 9 días, se realizó un frotis, este se fijó (alcohol 80%/10 minutos),  se tiñó con naranja de acridina y se analizó al microscopio (100x). Por muestra se contabilizaron eritrocitos </w:t>
      </w:r>
      <w:proofErr w:type="spellStart"/>
      <w:r w:rsidR="004E0973" w:rsidRPr="00CC3695">
        <w:rPr>
          <w:rFonts w:ascii="Arial" w:hAnsi="Arial" w:cs="Arial"/>
          <w:sz w:val="20"/>
          <w:szCs w:val="20"/>
        </w:rPr>
        <w:t>micronucleados</w:t>
      </w:r>
      <w:proofErr w:type="spellEnd"/>
      <w:r w:rsidR="004E0973" w:rsidRPr="00CC3695">
        <w:rPr>
          <w:rFonts w:ascii="Arial" w:hAnsi="Arial" w:cs="Arial"/>
          <w:sz w:val="20"/>
          <w:szCs w:val="20"/>
        </w:rPr>
        <w:t xml:space="preserve"> (EMN)/10,000 eritrocitos, eritrocitos policromáticos (EPC) y EPC </w:t>
      </w:r>
      <w:proofErr w:type="spellStart"/>
      <w:r w:rsidR="004E0973" w:rsidRPr="00CC3695">
        <w:rPr>
          <w:rFonts w:ascii="Arial" w:hAnsi="Arial" w:cs="Arial"/>
          <w:sz w:val="20"/>
          <w:szCs w:val="20"/>
        </w:rPr>
        <w:t>micronucleados</w:t>
      </w:r>
      <w:proofErr w:type="spellEnd"/>
      <w:r w:rsidR="004E0973" w:rsidRPr="00CC3695">
        <w:rPr>
          <w:rFonts w:ascii="Arial" w:hAnsi="Arial" w:cs="Arial"/>
          <w:sz w:val="20"/>
          <w:szCs w:val="20"/>
        </w:rPr>
        <w:t xml:space="preserve"> en 1000 células.</w:t>
      </w:r>
      <w:r w:rsidR="00FC003D">
        <w:rPr>
          <w:rFonts w:ascii="Arial" w:hAnsi="Arial" w:cs="Arial"/>
          <w:sz w:val="20"/>
          <w:szCs w:val="20"/>
        </w:rPr>
        <w:t xml:space="preserve"> </w:t>
      </w:r>
      <w:r w:rsidRPr="00FC003D">
        <w:rPr>
          <w:rFonts w:ascii="Arial" w:hAnsi="Arial" w:cs="Arial"/>
          <w:b/>
          <w:sz w:val="20"/>
          <w:szCs w:val="20"/>
        </w:rPr>
        <w:t>RESULTADOS:</w:t>
      </w:r>
      <w:r>
        <w:rPr>
          <w:rFonts w:ascii="Arial" w:hAnsi="Arial" w:cs="Arial"/>
          <w:b/>
          <w:sz w:val="20"/>
          <w:szCs w:val="20"/>
        </w:rPr>
        <w:t xml:space="preserve"> </w:t>
      </w:r>
      <w:r w:rsidR="004E0973" w:rsidRPr="00CC3695">
        <w:rPr>
          <w:rFonts w:ascii="Arial" w:hAnsi="Arial" w:cs="Arial"/>
          <w:sz w:val="20"/>
          <w:szCs w:val="20"/>
        </w:rPr>
        <w:t xml:space="preserve">En todos los compuesto se observó mayor frecuencia de EMN al 2do o 3er día de aplicación (p&gt;0.01) y a mayor dosis citotoxicidad. </w:t>
      </w:r>
      <w:r w:rsidRPr="00FC003D">
        <w:rPr>
          <w:rFonts w:ascii="Arial" w:hAnsi="Arial" w:cs="Arial"/>
          <w:b/>
          <w:sz w:val="20"/>
          <w:szCs w:val="20"/>
        </w:rPr>
        <w:t xml:space="preserve">DISCUSIÓN: </w:t>
      </w:r>
      <w:r w:rsidR="00316547">
        <w:rPr>
          <w:rFonts w:ascii="Arial" w:hAnsi="Arial" w:cs="Arial"/>
          <w:sz w:val="20"/>
          <w:szCs w:val="20"/>
        </w:rPr>
        <w:t xml:space="preserve">Normalmente </w:t>
      </w:r>
      <w:r w:rsidR="004E0973" w:rsidRPr="00CC3695">
        <w:rPr>
          <w:rFonts w:ascii="Arial" w:hAnsi="Arial" w:cs="Arial"/>
          <w:sz w:val="20"/>
          <w:szCs w:val="20"/>
        </w:rPr>
        <w:t xml:space="preserve">no se vigila el uso de los </w:t>
      </w:r>
      <w:proofErr w:type="spellStart"/>
      <w:r w:rsidR="004E0973" w:rsidRPr="00CC3695">
        <w:rPr>
          <w:rFonts w:ascii="Arial" w:hAnsi="Arial" w:cs="Arial"/>
          <w:sz w:val="20"/>
          <w:szCs w:val="20"/>
        </w:rPr>
        <w:t>corticoesteriodes</w:t>
      </w:r>
      <w:proofErr w:type="spellEnd"/>
      <w:r w:rsidR="004E0973" w:rsidRPr="00CC3695">
        <w:rPr>
          <w:rFonts w:ascii="Arial" w:hAnsi="Arial" w:cs="Arial"/>
          <w:sz w:val="20"/>
          <w:szCs w:val="20"/>
        </w:rPr>
        <w:t xml:space="preserve"> tópicos, sin embargo se evidencia que estos compuestos llegan a médula ósea y provocan pérdida e inestabilidad de material genético. </w:t>
      </w:r>
    </w:p>
    <w:p w:rsidR="00CC3695" w:rsidRPr="00CC3695" w:rsidRDefault="00CC3695" w:rsidP="00CC3695">
      <w:pPr>
        <w:pStyle w:val="PrincipalHding"/>
        <w:jc w:val="both"/>
        <w:rPr>
          <w:rFonts w:ascii="Arial" w:hAnsi="Arial" w:cs="Arial"/>
          <w:sz w:val="20"/>
          <w:lang w:val="es-MX"/>
        </w:rPr>
      </w:pPr>
    </w:p>
    <w:p w:rsidR="00B24164" w:rsidRDefault="00CC3695" w:rsidP="00CC3695">
      <w:pPr>
        <w:jc w:val="both"/>
        <w:rPr>
          <w:rFonts w:ascii="Arial" w:hAnsi="Arial" w:cs="Arial"/>
          <w:b/>
          <w:color w:val="FF0000"/>
          <w:sz w:val="20"/>
          <w:szCs w:val="20"/>
          <w:lang w:val="es-MX"/>
        </w:rPr>
      </w:pPr>
      <w:r w:rsidRPr="00CC3695">
        <w:rPr>
          <w:rFonts w:ascii="Arial" w:hAnsi="Arial" w:cs="Arial"/>
          <w:b/>
          <w:sz w:val="20"/>
          <w:szCs w:val="20"/>
          <w:lang w:val="es-MX"/>
        </w:rPr>
        <w:t>ANTECEDENTES</w:t>
      </w:r>
      <w:r w:rsidR="00C601F3">
        <w:rPr>
          <w:rFonts w:ascii="Arial" w:hAnsi="Arial" w:cs="Arial"/>
          <w:b/>
          <w:sz w:val="20"/>
          <w:szCs w:val="20"/>
          <w:lang w:val="es-MX"/>
        </w:rPr>
        <w:t xml:space="preserve"> </w:t>
      </w:r>
    </w:p>
    <w:p w:rsidR="00F5284D" w:rsidRPr="00B24164" w:rsidRDefault="00CC3695" w:rsidP="00CC3695">
      <w:pPr>
        <w:jc w:val="both"/>
        <w:rPr>
          <w:rFonts w:ascii="Arial" w:hAnsi="Arial" w:cs="Arial"/>
          <w:sz w:val="20"/>
          <w:szCs w:val="20"/>
          <w:lang w:val="es-MX"/>
        </w:rPr>
      </w:pPr>
      <w:r w:rsidRPr="00B24164">
        <w:rPr>
          <w:rFonts w:ascii="Arial" w:hAnsi="Arial" w:cs="Arial"/>
          <w:sz w:val="20"/>
          <w:szCs w:val="20"/>
          <w:lang w:val="es-MX"/>
        </w:rPr>
        <w:t>La piel es la principal barrera entre el cuerpo y el medio externo, por tanto se entiende que se encuentra continuamente expuesta a agentes citotóxicos, mutágenos, carcinógenos y genotóxicos, dentro de los que se incluyen algunos fármacos administrados vía tó</w:t>
      </w:r>
      <w:r w:rsidR="009263A8" w:rsidRPr="00B24164">
        <w:rPr>
          <w:rFonts w:ascii="Arial" w:hAnsi="Arial" w:cs="Arial"/>
          <w:sz w:val="20"/>
          <w:szCs w:val="20"/>
          <w:lang w:val="es-MX"/>
        </w:rPr>
        <w:t xml:space="preserve">pica </w:t>
      </w:r>
      <w:proofErr w:type="spellStart"/>
      <w:r w:rsidRPr="00B24164">
        <w:rPr>
          <w:rFonts w:ascii="Arial" w:hAnsi="Arial" w:cs="Arial"/>
          <w:sz w:val="20"/>
          <w:szCs w:val="20"/>
          <w:shd w:val="clear" w:color="auto" w:fill="FFFFFF"/>
          <w:vertAlign w:val="superscript"/>
          <w:lang w:val="es-MX"/>
        </w:rPr>
        <w:t>Lazaro</w:t>
      </w:r>
      <w:proofErr w:type="spellEnd"/>
      <w:r w:rsidR="009571E1" w:rsidRPr="00B24164">
        <w:rPr>
          <w:rFonts w:ascii="Arial" w:hAnsi="Arial" w:cs="Arial"/>
          <w:sz w:val="20"/>
          <w:szCs w:val="20"/>
          <w:shd w:val="clear" w:color="auto" w:fill="FFFFFF"/>
          <w:vertAlign w:val="superscript"/>
          <w:lang w:val="es-MX"/>
        </w:rPr>
        <w:t xml:space="preserve">, </w:t>
      </w:r>
      <w:r w:rsidRPr="00B24164">
        <w:rPr>
          <w:rFonts w:ascii="Arial" w:hAnsi="Arial" w:cs="Arial"/>
          <w:sz w:val="20"/>
          <w:szCs w:val="20"/>
          <w:shd w:val="clear" w:color="auto" w:fill="FFFFFF"/>
          <w:vertAlign w:val="superscript"/>
          <w:lang w:val="es-MX"/>
        </w:rPr>
        <w:t>2010</w:t>
      </w:r>
      <w:r w:rsidRPr="00B24164">
        <w:rPr>
          <w:rFonts w:ascii="Arial" w:hAnsi="Arial" w:cs="Arial"/>
          <w:sz w:val="20"/>
          <w:szCs w:val="20"/>
          <w:shd w:val="clear" w:color="auto" w:fill="FFFFFF"/>
          <w:lang w:val="es-MX"/>
        </w:rPr>
        <w:t xml:space="preserve">. Específicamente </w:t>
      </w:r>
      <w:r w:rsidRPr="00B24164">
        <w:rPr>
          <w:rFonts w:ascii="Arial" w:hAnsi="Arial" w:cs="Arial"/>
          <w:sz w:val="20"/>
          <w:szCs w:val="20"/>
          <w:lang w:val="es-MX"/>
        </w:rPr>
        <w:t>el daño genotóxico es silente y frecuentemente los métodos para evaluarlo son costosos, complicados e invasivos; la técnica de micronúcleos (MN) es una opción ideal para monitorizar poblaciones en riesgo, es confiable, altamente informativa, rápida, sencilla, económica, mínimamente invasiva, además no es necesario el cultivo celular, ni el sacrifici</w:t>
      </w:r>
      <w:r w:rsidR="009263A8" w:rsidRPr="00B24164">
        <w:rPr>
          <w:rFonts w:ascii="Arial" w:hAnsi="Arial" w:cs="Arial"/>
          <w:sz w:val="20"/>
          <w:szCs w:val="20"/>
          <w:lang w:val="es-MX"/>
        </w:rPr>
        <w:t xml:space="preserve">o del organismo, </w:t>
      </w:r>
      <w:r w:rsidR="009571E1" w:rsidRPr="00B24164">
        <w:rPr>
          <w:rFonts w:ascii="Arial" w:hAnsi="Arial" w:cs="Arial"/>
          <w:sz w:val="20"/>
          <w:szCs w:val="20"/>
          <w:vertAlign w:val="superscript"/>
          <w:lang w:val="es-MX"/>
        </w:rPr>
        <w:t>Torres-</w:t>
      </w:r>
      <w:proofErr w:type="spellStart"/>
      <w:r w:rsidR="009571E1" w:rsidRPr="00B24164">
        <w:rPr>
          <w:rFonts w:ascii="Arial" w:hAnsi="Arial" w:cs="Arial"/>
          <w:sz w:val="20"/>
          <w:szCs w:val="20"/>
          <w:vertAlign w:val="superscript"/>
          <w:lang w:val="es-MX"/>
        </w:rPr>
        <w:t>Bugari</w:t>
      </w:r>
      <w:r w:rsidR="009263A8" w:rsidRPr="00B24164">
        <w:rPr>
          <w:rFonts w:ascii="Arial" w:hAnsi="Arial" w:cs="Arial"/>
          <w:sz w:val="20"/>
          <w:szCs w:val="20"/>
          <w:vertAlign w:val="superscript"/>
          <w:lang w:val="es-MX"/>
        </w:rPr>
        <w:t>n</w:t>
      </w:r>
      <w:proofErr w:type="spellEnd"/>
      <w:r w:rsidR="009571E1" w:rsidRPr="00B24164">
        <w:rPr>
          <w:rFonts w:ascii="Arial" w:hAnsi="Arial" w:cs="Arial"/>
          <w:sz w:val="20"/>
          <w:szCs w:val="20"/>
          <w:vertAlign w:val="superscript"/>
          <w:lang w:val="es-MX"/>
        </w:rPr>
        <w:t xml:space="preserve">, </w:t>
      </w:r>
      <w:r w:rsidRPr="00B24164">
        <w:rPr>
          <w:rFonts w:ascii="Arial" w:hAnsi="Arial" w:cs="Arial"/>
          <w:sz w:val="20"/>
          <w:szCs w:val="20"/>
          <w:vertAlign w:val="superscript"/>
          <w:lang w:val="es-MX"/>
        </w:rPr>
        <w:t>2007; Zúñiga-González</w:t>
      </w:r>
      <w:r w:rsidR="009571E1" w:rsidRPr="00B24164">
        <w:rPr>
          <w:rFonts w:ascii="Arial" w:hAnsi="Arial" w:cs="Arial"/>
          <w:sz w:val="20"/>
          <w:szCs w:val="20"/>
          <w:vertAlign w:val="superscript"/>
          <w:lang w:val="es-MX"/>
        </w:rPr>
        <w:t xml:space="preserve">, </w:t>
      </w:r>
      <w:r w:rsidRPr="00B24164">
        <w:rPr>
          <w:rFonts w:ascii="Arial" w:hAnsi="Arial" w:cs="Arial"/>
          <w:sz w:val="20"/>
          <w:szCs w:val="20"/>
          <w:vertAlign w:val="superscript"/>
          <w:lang w:val="es-MX"/>
        </w:rPr>
        <w:t>2000</w:t>
      </w:r>
      <w:r w:rsidR="009263A8" w:rsidRPr="00B24164">
        <w:rPr>
          <w:rFonts w:ascii="Arial" w:hAnsi="Arial" w:cs="Arial"/>
          <w:sz w:val="20"/>
          <w:szCs w:val="20"/>
          <w:vertAlign w:val="superscript"/>
          <w:lang w:val="es-MX"/>
        </w:rPr>
        <w:t xml:space="preserve">; </w:t>
      </w:r>
      <w:r w:rsidRPr="00B24164">
        <w:rPr>
          <w:rFonts w:ascii="Arial" w:hAnsi="Arial" w:cs="Arial"/>
          <w:sz w:val="20"/>
          <w:szCs w:val="20"/>
          <w:vertAlign w:val="superscript"/>
          <w:lang w:val="es-MX"/>
        </w:rPr>
        <w:t>2001</w:t>
      </w:r>
      <w:r w:rsidRPr="00B24164">
        <w:rPr>
          <w:rFonts w:ascii="Arial" w:hAnsi="Arial" w:cs="Arial"/>
          <w:sz w:val="20"/>
          <w:szCs w:val="20"/>
          <w:lang w:val="es-MX"/>
        </w:rPr>
        <w:t>, entre otras aplicaciones, esta técnica es empleada para evaluar el efecto genotóxico de compuestos apl</w:t>
      </w:r>
      <w:r w:rsidR="009263A8" w:rsidRPr="00B24164">
        <w:rPr>
          <w:rFonts w:ascii="Arial" w:hAnsi="Arial" w:cs="Arial"/>
          <w:sz w:val="20"/>
          <w:szCs w:val="20"/>
          <w:lang w:val="es-MX"/>
        </w:rPr>
        <w:t xml:space="preserve">icados tópicamente en el ratón </w:t>
      </w:r>
      <w:r w:rsidRPr="00B24164">
        <w:rPr>
          <w:rFonts w:ascii="Arial" w:hAnsi="Arial" w:cs="Arial"/>
          <w:sz w:val="20"/>
          <w:szCs w:val="20"/>
          <w:shd w:val="clear" w:color="auto" w:fill="FFFFFF"/>
          <w:vertAlign w:val="superscript"/>
          <w:lang w:val="es-MX"/>
        </w:rPr>
        <w:t xml:space="preserve">Zúñiga González, 2002, </w:t>
      </w:r>
      <w:r w:rsidRPr="00B24164">
        <w:rPr>
          <w:rFonts w:ascii="Arial" w:hAnsi="Arial" w:cs="Arial"/>
          <w:bCs/>
          <w:sz w:val="20"/>
          <w:szCs w:val="20"/>
          <w:vertAlign w:val="superscript"/>
          <w:lang w:val="es-MX"/>
        </w:rPr>
        <w:t>Oliveira-</w:t>
      </w:r>
      <w:proofErr w:type="spellStart"/>
      <w:r w:rsidRPr="00B24164">
        <w:rPr>
          <w:rFonts w:ascii="Arial" w:hAnsi="Arial" w:cs="Arial"/>
          <w:bCs/>
          <w:sz w:val="20"/>
          <w:szCs w:val="20"/>
          <w:vertAlign w:val="superscript"/>
          <w:lang w:val="es-MX"/>
        </w:rPr>
        <w:t>Martins</w:t>
      </w:r>
      <w:proofErr w:type="spellEnd"/>
      <w:r w:rsidRPr="00B24164">
        <w:rPr>
          <w:rFonts w:ascii="Arial" w:hAnsi="Arial" w:cs="Arial"/>
          <w:bCs/>
          <w:sz w:val="20"/>
          <w:szCs w:val="20"/>
          <w:vertAlign w:val="superscript"/>
          <w:lang w:val="es-MX"/>
        </w:rPr>
        <w:t xml:space="preserve">, 2007, </w:t>
      </w:r>
      <w:r w:rsidRPr="00B24164">
        <w:rPr>
          <w:rFonts w:ascii="Arial" w:hAnsi="Arial" w:cs="Arial"/>
          <w:sz w:val="20"/>
          <w:szCs w:val="20"/>
          <w:vertAlign w:val="superscript"/>
          <w:lang w:val="es-MX"/>
        </w:rPr>
        <w:t>Flores-García, 2011</w:t>
      </w:r>
      <w:r w:rsidRPr="00B24164">
        <w:rPr>
          <w:rFonts w:ascii="Arial" w:hAnsi="Arial" w:cs="Arial"/>
          <w:sz w:val="20"/>
          <w:szCs w:val="20"/>
          <w:lang w:val="es-MX"/>
        </w:rPr>
        <w:t xml:space="preserve">. </w:t>
      </w:r>
      <w:r w:rsidR="00990EF9" w:rsidRPr="00B24164">
        <w:rPr>
          <w:rFonts w:ascii="Arial" w:hAnsi="Arial" w:cs="Arial"/>
          <w:b/>
          <w:sz w:val="20"/>
          <w:szCs w:val="20"/>
          <w:lang w:val="es-MX"/>
        </w:rPr>
        <w:t>La prueba de micronúcleos</w:t>
      </w:r>
      <w:r w:rsidR="00FB05B2" w:rsidRPr="00B24164">
        <w:rPr>
          <w:rFonts w:ascii="Arial" w:hAnsi="Arial" w:cs="Arial"/>
          <w:b/>
          <w:sz w:val="20"/>
          <w:szCs w:val="20"/>
          <w:lang w:val="es-MX"/>
        </w:rPr>
        <w:t xml:space="preserve">; </w:t>
      </w:r>
      <w:r w:rsidRPr="00B24164">
        <w:rPr>
          <w:rFonts w:ascii="Arial" w:hAnsi="Arial" w:cs="Arial"/>
          <w:sz w:val="20"/>
          <w:szCs w:val="20"/>
          <w:lang w:val="es-MX"/>
        </w:rPr>
        <w:t>Los MN son biomarcadores de efecto y se localizan en el citoplasma en donde se observan como pequeñas masas de cromatina similares al núcleo</w:t>
      </w:r>
      <w:r w:rsidR="00FF2E4B" w:rsidRPr="00B24164">
        <w:rPr>
          <w:rFonts w:ascii="Arial" w:hAnsi="Arial" w:cs="Arial"/>
          <w:sz w:val="20"/>
          <w:szCs w:val="20"/>
          <w:lang w:val="es-MX"/>
        </w:rPr>
        <w:t xml:space="preserve"> pero </w:t>
      </w:r>
      <w:proofErr w:type="spellStart"/>
      <w:r w:rsidR="00FF2E4B" w:rsidRPr="00B24164">
        <w:rPr>
          <w:rFonts w:ascii="Arial" w:hAnsi="Arial" w:cs="Arial"/>
          <w:sz w:val="20"/>
          <w:szCs w:val="20"/>
          <w:lang w:val="es-MX"/>
        </w:rPr>
        <w:t>mas</w:t>
      </w:r>
      <w:proofErr w:type="spellEnd"/>
      <w:r w:rsidR="00FF2E4B" w:rsidRPr="00B24164">
        <w:rPr>
          <w:rFonts w:ascii="Arial" w:hAnsi="Arial" w:cs="Arial"/>
          <w:color w:val="FF0000"/>
          <w:sz w:val="20"/>
          <w:szCs w:val="20"/>
          <w:lang w:val="es-MX"/>
        </w:rPr>
        <w:t xml:space="preserve"> </w:t>
      </w:r>
      <w:r w:rsidR="00FF2E4B" w:rsidRPr="00B24164">
        <w:rPr>
          <w:rFonts w:ascii="Arial" w:hAnsi="Arial" w:cs="Arial"/>
          <w:sz w:val="20"/>
          <w:szCs w:val="20"/>
          <w:lang w:val="es-MX"/>
        </w:rPr>
        <w:t>pequeños de ahí su nombre</w:t>
      </w:r>
      <w:r w:rsidRPr="00B24164">
        <w:rPr>
          <w:rFonts w:ascii="Arial" w:hAnsi="Arial" w:cs="Arial"/>
          <w:sz w:val="20"/>
          <w:szCs w:val="20"/>
          <w:lang w:val="es-MX"/>
        </w:rPr>
        <w:t xml:space="preserve">, se forman durante la metafase–anafase, son cromosomas </w:t>
      </w:r>
      <w:r w:rsidRPr="00B24164">
        <w:rPr>
          <w:rFonts w:ascii="Arial" w:hAnsi="Arial" w:cs="Arial"/>
          <w:sz w:val="20"/>
          <w:szCs w:val="20"/>
          <w:lang w:val="es-MX"/>
        </w:rPr>
        <w:lastRenderedPageBreak/>
        <w:t xml:space="preserve">completos rezagados por daño al uso mitótico o fragmentos de cromosomas sin centrómero, en ambos casos no lograron incorporarse al núcleo de las células hijas lo que deriva en la aparición de estas estructuras </w:t>
      </w:r>
      <w:proofErr w:type="spellStart"/>
      <w:r w:rsidRPr="00B24164">
        <w:rPr>
          <w:rFonts w:ascii="Arial" w:hAnsi="Arial" w:cs="Arial"/>
          <w:sz w:val="20"/>
          <w:szCs w:val="20"/>
          <w:vertAlign w:val="superscript"/>
          <w:lang w:val="es-MX"/>
        </w:rPr>
        <w:t>Schmid</w:t>
      </w:r>
      <w:proofErr w:type="spellEnd"/>
      <w:r w:rsidR="00223A0F" w:rsidRPr="00B24164">
        <w:rPr>
          <w:rFonts w:ascii="Arial" w:hAnsi="Arial" w:cs="Arial"/>
          <w:sz w:val="20"/>
          <w:szCs w:val="20"/>
          <w:vertAlign w:val="superscript"/>
          <w:lang w:val="es-MX"/>
        </w:rPr>
        <w:t xml:space="preserve">, </w:t>
      </w:r>
      <w:r w:rsidRPr="00B24164">
        <w:rPr>
          <w:rFonts w:ascii="Arial" w:hAnsi="Arial" w:cs="Arial"/>
          <w:sz w:val="20"/>
          <w:szCs w:val="20"/>
          <w:vertAlign w:val="superscript"/>
          <w:lang w:val="es-MX"/>
        </w:rPr>
        <w:t xml:space="preserve"> 1975</w:t>
      </w:r>
      <w:r w:rsidRPr="00B24164">
        <w:rPr>
          <w:rFonts w:ascii="Arial" w:hAnsi="Arial" w:cs="Arial"/>
          <w:sz w:val="20"/>
          <w:szCs w:val="20"/>
          <w:lang w:val="es-MX"/>
        </w:rPr>
        <w:t xml:space="preserve">. En hematología, los MN se conocen como cuerpos de </w:t>
      </w:r>
      <w:proofErr w:type="spellStart"/>
      <w:r w:rsidRPr="00B24164">
        <w:rPr>
          <w:rFonts w:ascii="Arial" w:hAnsi="Arial" w:cs="Arial"/>
          <w:sz w:val="20"/>
          <w:szCs w:val="20"/>
          <w:lang w:val="es-MX"/>
        </w:rPr>
        <w:t>Howell-Jolly</w:t>
      </w:r>
      <w:proofErr w:type="spellEnd"/>
      <w:r w:rsidRPr="00B24164">
        <w:rPr>
          <w:rFonts w:ascii="Arial" w:hAnsi="Arial" w:cs="Arial"/>
          <w:sz w:val="20"/>
          <w:szCs w:val="20"/>
          <w:lang w:val="es-MX"/>
        </w:rPr>
        <w:t>, cuya forma es redonda o almendrada, su diámetro varía desde 1/20 a un 1/5 (0.4 a 1.6 μ) del tamaño normal del eritrocito (6 a 8 μ de diámetro)</w:t>
      </w:r>
      <w:r w:rsidR="009529DF" w:rsidRPr="00B24164">
        <w:rPr>
          <w:rFonts w:ascii="Arial" w:hAnsi="Arial" w:cs="Arial"/>
          <w:sz w:val="20"/>
          <w:szCs w:val="20"/>
          <w:lang w:val="es-MX"/>
        </w:rPr>
        <w:t xml:space="preserve"> </w:t>
      </w:r>
      <w:proofErr w:type="spellStart"/>
      <w:r w:rsidR="009529DF" w:rsidRPr="00B24164">
        <w:rPr>
          <w:rFonts w:ascii="Arial" w:hAnsi="Arial" w:cs="Arial"/>
          <w:sz w:val="20"/>
          <w:szCs w:val="20"/>
          <w:vertAlign w:val="superscript"/>
          <w:lang w:val="es-MX"/>
        </w:rPr>
        <w:t>Schmid</w:t>
      </w:r>
      <w:proofErr w:type="spellEnd"/>
      <w:r w:rsidR="009529DF" w:rsidRPr="00B24164">
        <w:rPr>
          <w:rFonts w:ascii="Arial" w:hAnsi="Arial" w:cs="Arial"/>
          <w:sz w:val="20"/>
          <w:szCs w:val="20"/>
          <w:vertAlign w:val="superscript"/>
          <w:lang w:val="es-MX"/>
        </w:rPr>
        <w:t>,  1975</w:t>
      </w:r>
      <w:r w:rsidRPr="00B24164">
        <w:rPr>
          <w:rFonts w:ascii="Arial" w:hAnsi="Arial" w:cs="Arial"/>
          <w:sz w:val="20"/>
          <w:szCs w:val="20"/>
          <w:lang w:val="es-MX"/>
        </w:rPr>
        <w:t xml:space="preserve">. El conteo de la frecuencia de MN es un biomarcador ampliamente usado para estimar el daño genotóxico causado por agentes </w:t>
      </w:r>
      <w:r w:rsidR="009529DF" w:rsidRPr="00B24164">
        <w:rPr>
          <w:rFonts w:ascii="Arial" w:hAnsi="Arial" w:cs="Arial"/>
          <w:sz w:val="20"/>
          <w:szCs w:val="20"/>
          <w:lang w:val="es-MX"/>
        </w:rPr>
        <w:t xml:space="preserve">físicos, químicos o biológicos </w:t>
      </w:r>
      <w:r w:rsidRPr="00B24164">
        <w:rPr>
          <w:rFonts w:ascii="Arial" w:hAnsi="Arial" w:cs="Arial"/>
          <w:sz w:val="20"/>
          <w:szCs w:val="20"/>
          <w:vertAlign w:val="superscript"/>
          <w:lang w:val="es-MX"/>
        </w:rPr>
        <w:t>Torres-</w:t>
      </w:r>
      <w:proofErr w:type="spellStart"/>
      <w:r w:rsidRPr="00B24164">
        <w:rPr>
          <w:rFonts w:ascii="Arial" w:hAnsi="Arial" w:cs="Arial"/>
          <w:sz w:val="20"/>
          <w:szCs w:val="20"/>
          <w:vertAlign w:val="superscript"/>
          <w:lang w:val="es-MX"/>
        </w:rPr>
        <w:t>Bugarin</w:t>
      </w:r>
      <w:proofErr w:type="spellEnd"/>
      <w:r w:rsidRPr="00B24164">
        <w:rPr>
          <w:rFonts w:ascii="Arial" w:hAnsi="Arial" w:cs="Arial"/>
          <w:sz w:val="20"/>
          <w:szCs w:val="20"/>
          <w:vertAlign w:val="superscript"/>
          <w:lang w:val="es-MX"/>
        </w:rPr>
        <w:t>, 2014</w:t>
      </w:r>
      <w:r w:rsidRPr="00B24164">
        <w:rPr>
          <w:rFonts w:ascii="Arial" w:hAnsi="Arial" w:cs="Arial"/>
          <w:sz w:val="20"/>
          <w:szCs w:val="20"/>
          <w:lang w:val="es-MX"/>
        </w:rPr>
        <w:t>. Originalmente, la prueba de MN fue desarrollada en eritrocitos de médula ósea de ratones para evaluar compuestos administrados por vía intraperitoneal, posteriormente se modificó para evaluar daño genotóxico secundario a la aplicación de agentes por diversas vías, en distintos tejidos y especies; como eritrocitos de sangre periférica tanto d</w:t>
      </w:r>
      <w:r w:rsidR="00671F98" w:rsidRPr="00B24164">
        <w:rPr>
          <w:rFonts w:ascii="Arial" w:hAnsi="Arial" w:cs="Arial"/>
          <w:sz w:val="20"/>
          <w:szCs w:val="20"/>
          <w:lang w:val="es-MX"/>
        </w:rPr>
        <w:t xml:space="preserve">e ratón como de otras especies </w:t>
      </w:r>
      <w:r w:rsidRPr="00B24164">
        <w:rPr>
          <w:rFonts w:ascii="Arial" w:hAnsi="Arial" w:cs="Arial"/>
          <w:sz w:val="20"/>
          <w:szCs w:val="20"/>
          <w:vertAlign w:val="superscript"/>
          <w:lang w:val="es-MX"/>
        </w:rPr>
        <w:t>Zúñiga-González</w:t>
      </w:r>
      <w:r w:rsidR="009571E1" w:rsidRPr="00B24164">
        <w:rPr>
          <w:rFonts w:ascii="Arial" w:hAnsi="Arial" w:cs="Arial"/>
          <w:sz w:val="20"/>
          <w:szCs w:val="20"/>
          <w:vertAlign w:val="superscript"/>
          <w:lang w:val="es-MX"/>
        </w:rPr>
        <w:t xml:space="preserve">, </w:t>
      </w:r>
      <w:r w:rsidR="00671F98" w:rsidRPr="00B24164">
        <w:rPr>
          <w:rFonts w:ascii="Arial" w:hAnsi="Arial" w:cs="Arial"/>
          <w:sz w:val="20"/>
          <w:szCs w:val="20"/>
          <w:vertAlign w:val="superscript"/>
          <w:lang w:val="es-MX"/>
        </w:rPr>
        <w:t>1</w:t>
      </w:r>
      <w:r w:rsidRPr="00B24164">
        <w:rPr>
          <w:rFonts w:ascii="Arial" w:hAnsi="Arial" w:cs="Arial"/>
          <w:sz w:val="20"/>
          <w:szCs w:val="20"/>
          <w:vertAlign w:val="superscript"/>
          <w:lang w:val="es-MX"/>
        </w:rPr>
        <w:t>996</w:t>
      </w:r>
      <w:r w:rsidR="00671F98" w:rsidRPr="00B24164">
        <w:rPr>
          <w:rFonts w:ascii="Arial" w:hAnsi="Arial" w:cs="Arial"/>
          <w:sz w:val="20"/>
          <w:szCs w:val="20"/>
          <w:vertAlign w:val="superscript"/>
          <w:lang w:val="es-MX"/>
        </w:rPr>
        <w:t xml:space="preserve">; </w:t>
      </w:r>
      <w:r w:rsidRPr="00B24164">
        <w:rPr>
          <w:rFonts w:ascii="Arial" w:hAnsi="Arial" w:cs="Arial"/>
          <w:sz w:val="20"/>
          <w:szCs w:val="20"/>
          <w:vertAlign w:val="superscript"/>
          <w:lang w:val="es-MX"/>
        </w:rPr>
        <w:t>2000</w:t>
      </w:r>
      <w:r w:rsidR="00671F98" w:rsidRPr="00B24164">
        <w:rPr>
          <w:rFonts w:ascii="Arial" w:hAnsi="Arial" w:cs="Arial"/>
          <w:sz w:val="20"/>
          <w:szCs w:val="20"/>
          <w:vertAlign w:val="superscript"/>
          <w:lang w:val="es-MX"/>
        </w:rPr>
        <w:t xml:space="preserve">; </w:t>
      </w:r>
      <w:r w:rsidRPr="00B24164">
        <w:rPr>
          <w:rFonts w:ascii="Arial" w:hAnsi="Arial" w:cs="Arial"/>
          <w:sz w:val="20"/>
          <w:szCs w:val="20"/>
          <w:vertAlign w:val="superscript"/>
          <w:lang w:val="es-MX"/>
        </w:rPr>
        <w:t>2001</w:t>
      </w:r>
      <w:r w:rsidRPr="00B24164">
        <w:rPr>
          <w:rFonts w:ascii="Arial" w:hAnsi="Arial" w:cs="Arial"/>
          <w:sz w:val="20"/>
          <w:szCs w:val="20"/>
          <w:lang w:val="es-MX"/>
        </w:rPr>
        <w:t>, célu</w:t>
      </w:r>
      <w:r w:rsidR="00671F98" w:rsidRPr="00B24164">
        <w:rPr>
          <w:rFonts w:ascii="Arial" w:hAnsi="Arial" w:cs="Arial"/>
          <w:sz w:val="20"/>
          <w:szCs w:val="20"/>
          <w:lang w:val="es-MX"/>
        </w:rPr>
        <w:t xml:space="preserve">las exfoliadas de </w:t>
      </w:r>
      <w:r w:rsidR="00671F98" w:rsidRPr="00FC464B">
        <w:rPr>
          <w:rFonts w:ascii="Arial" w:hAnsi="Arial" w:cs="Arial"/>
          <w:sz w:val="20"/>
          <w:szCs w:val="20"/>
          <w:lang w:val="es-MX"/>
        </w:rPr>
        <w:t xml:space="preserve">mucosa bucal </w:t>
      </w:r>
      <w:r w:rsidRPr="00FC464B">
        <w:rPr>
          <w:rFonts w:ascii="Arial" w:hAnsi="Arial" w:cs="Arial"/>
          <w:sz w:val="20"/>
          <w:szCs w:val="20"/>
          <w:vertAlign w:val="superscript"/>
          <w:lang w:val="es-MX"/>
        </w:rPr>
        <w:t xml:space="preserve">Torres Bugarín, 2014; </w:t>
      </w:r>
      <w:proofErr w:type="spellStart"/>
      <w:r w:rsidRPr="00FC464B">
        <w:rPr>
          <w:rFonts w:ascii="Arial" w:hAnsi="Arial" w:cs="Arial"/>
          <w:sz w:val="20"/>
          <w:szCs w:val="20"/>
          <w:vertAlign w:val="superscript"/>
          <w:lang w:val="es-MX"/>
        </w:rPr>
        <w:t>Bonassi</w:t>
      </w:r>
      <w:proofErr w:type="spellEnd"/>
      <w:r w:rsidRPr="00FC464B">
        <w:rPr>
          <w:rFonts w:ascii="Arial" w:hAnsi="Arial" w:cs="Arial"/>
          <w:sz w:val="20"/>
          <w:szCs w:val="20"/>
          <w:vertAlign w:val="superscript"/>
          <w:lang w:val="es-MX"/>
        </w:rPr>
        <w:t>, 2011</w:t>
      </w:r>
      <w:r w:rsidR="00F82919" w:rsidRPr="00FC464B">
        <w:rPr>
          <w:rFonts w:ascii="Arial" w:hAnsi="Arial" w:cs="Arial"/>
          <w:sz w:val="20"/>
          <w:szCs w:val="20"/>
          <w:lang w:val="es-MX"/>
        </w:rPr>
        <w:t xml:space="preserve">, vaginales de humano </w:t>
      </w:r>
      <w:proofErr w:type="spellStart"/>
      <w:r w:rsidR="00FA6E8E" w:rsidRPr="00FC464B">
        <w:rPr>
          <w:rFonts w:ascii="Arial" w:hAnsi="Arial" w:cs="Arial"/>
          <w:sz w:val="20"/>
          <w:szCs w:val="20"/>
          <w:vertAlign w:val="superscript"/>
          <w:lang w:val="es-MX"/>
        </w:rPr>
        <w:t>Ambroise</w:t>
      </w:r>
      <w:proofErr w:type="spellEnd"/>
      <w:r w:rsidR="00FA6E8E" w:rsidRPr="00FC464B">
        <w:rPr>
          <w:rFonts w:ascii="Arial" w:hAnsi="Arial" w:cs="Arial"/>
          <w:sz w:val="20"/>
          <w:szCs w:val="20"/>
          <w:vertAlign w:val="superscript"/>
          <w:lang w:val="es-MX"/>
        </w:rPr>
        <w:t>, 2013</w:t>
      </w:r>
      <w:r w:rsidRPr="00FC464B">
        <w:rPr>
          <w:rFonts w:ascii="Arial" w:hAnsi="Arial" w:cs="Arial"/>
          <w:sz w:val="20"/>
          <w:szCs w:val="20"/>
          <w:lang w:val="es-MX"/>
        </w:rPr>
        <w:t xml:space="preserve"> y otros organismos </w:t>
      </w:r>
      <w:r w:rsidR="00FA6E8E" w:rsidRPr="00FC464B">
        <w:rPr>
          <w:rFonts w:ascii="Arial" w:hAnsi="Arial" w:cs="Arial"/>
          <w:sz w:val="20"/>
          <w:szCs w:val="20"/>
          <w:vertAlign w:val="superscript"/>
          <w:lang w:val="es-MX"/>
        </w:rPr>
        <w:t>Ornelas-Aguirre</w:t>
      </w:r>
      <w:r w:rsidR="00FA6E8E" w:rsidRPr="00FC464B">
        <w:rPr>
          <w:rFonts w:ascii="Arial" w:hAnsi="Arial" w:cs="Arial"/>
          <w:sz w:val="20"/>
          <w:szCs w:val="20"/>
          <w:vertAlign w:val="superscript"/>
        </w:rPr>
        <w:t xml:space="preserve">, 2006, </w:t>
      </w:r>
      <w:r w:rsidRPr="00FC464B">
        <w:rPr>
          <w:rFonts w:ascii="Arial" w:hAnsi="Arial" w:cs="Arial"/>
          <w:sz w:val="20"/>
          <w:szCs w:val="20"/>
          <w:vertAlign w:val="superscript"/>
          <w:lang w:val="es-MX"/>
        </w:rPr>
        <w:t xml:space="preserve"> </w:t>
      </w:r>
      <w:r w:rsidR="00715B15" w:rsidRPr="00FC464B">
        <w:rPr>
          <w:rFonts w:ascii="Arial" w:hAnsi="Arial" w:cs="Arial"/>
          <w:sz w:val="20"/>
          <w:szCs w:val="20"/>
          <w:vertAlign w:val="superscript"/>
          <w:lang w:val="es-MX"/>
        </w:rPr>
        <w:t xml:space="preserve">Zúñiga-González, </w:t>
      </w:r>
      <w:r w:rsidRPr="00FC464B">
        <w:rPr>
          <w:rFonts w:ascii="Arial" w:hAnsi="Arial" w:cs="Arial"/>
          <w:sz w:val="20"/>
          <w:szCs w:val="20"/>
          <w:vertAlign w:val="superscript"/>
          <w:lang w:val="es-MX"/>
        </w:rPr>
        <w:t>2003</w:t>
      </w:r>
      <w:r w:rsidR="00363C76" w:rsidRPr="00FC464B">
        <w:rPr>
          <w:rFonts w:ascii="Arial" w:hAnsi="Arial" w:cs="Arial"/>
          <w:sz w:val="20"/>
          <w:szCs w:val="20"/>
          <w:lang w:val="es-MX"/>
        </w:rPr>
        <w:t xml:space="preserve">, </w:t>
      </w:r>
      <w:r w:rsidR="00E60A5C" w:rsidRPr="00FC464B">
        <w:rPr>
          <w:rFonts w:ascii="Arial" w:hAnsi="Arial" w:cs="Arial"/>
          <w:sz w:val="20"/>
          <w:szCs w:val="20"/>
          <w:lang w:val="es-MX"/>
        </w:rPr>
        <w:t>así</w:t>
      </w:r>
      <w:r w:rsidR="00363C76" w:rsidRPr="00FC464B">
        <w:rPr>
          <w:rFonts w:ascii="Arial" w:hAnsi="Arial" w:cs="Arial"/>
          <w:sz w:val="20"/>
          <w:szCs w:val="20"/>
          <w:lang w:val="es-MX"/>
        </w:rPr>
        <w:t xml:space="preserve"> como en células</w:t>
      </w:r>
      <w:r w:rsidR="00363C76" w:rsidRPr="00B24164">
        <w:rPr>
          <w:rFonts w:ascii="Arial" w:hAnsi="Arial" w:cs="Arial"/>
          <w:sz w:val="20"/>
          <w:szCs w:val="20"/>
          <w:lang w:val="es-MX"/>
        </w:rPr>
        <w:t xml:space="preserve"> descamadas de</w:t>
      </w:r>
      <w:r w:rsidR="00D358C3" w:rsidRPr="00B24164">
        <w:rPr>
          <w:rFonts w:ascii="Arial" w:hAnsi="Arial" w:cs="Arial"/>
          <w:sz w:val="20"/>
          <w:szCs w:val="20"/>
          <w:lang w:val="es-MX"/>
        </w:rPr>
        <w:t xml:space="preserve"> anfibios </w:t>
      </w:r>
      <w:r w:rsidRPr="00B24164">
        <w:rPr>
          <w:rFonts w:ascii="Arial" w:hAnsi="Arial" w:cs="Arial"/>
          <w:sz w:val="20"/>
          <w:szCs w:val="20"/>
          <w:vertAlign w:val="superscript"/>
          <w:lang w:val="es-MX"/>
        </w:rPr>
        <w:t>Zamora Pérez, 2004</w:t>
      </w:r>
      <w:r w:rsidRPr="00B24164">
        <w:rPr>
          <w:rFonts w:ascii="Arial" w:hAnsi="Arial" w:cs="Arial"/>
          <w:sz w:val="20"/>
          <w:szCs w:val="20"/>
          <w:lang w:val="es-MX"/>
        </w:rPr>
        <w:t>, entre muchos otros.</w:t>
      </w:r>
      <w:r w:rsidR="00DF0D61" w:rsidRPr="00B24164">
        <w:rPr>
          <w:rFonts w:ascii="Arial" w:hAnsi="Arial" w:cs="Arial"/>
          <w:sz w:val="20"/>
          <w:szCs w:val="20"/>
          <w:lang w:val="es-MX"/>
        </w:rPr>
        <w:t xml:space="preserve"> </w:t>
      </w:r>
      <w:r w:rsidR="008C53F8" w:rsidRPr="00B24164">
        <w:rPr>
          <w:rFonts w:ascii="Arial" w:hAnsi="Arial" w:cs="Arial"/>
          <w:color w:val="000000" w:themeColor="text1"/>
          <w:sz w:val="20"/>
          <w:szCs w:val="20"/>
          <w:lang w:val="es-MX"/>
        </w:rPr>
        <w:t>Así l</w:t>
      </w:r>
      <w:r w:rsidRPr="00B24164">
        <w:rPr>
          <w:rFonts w:ascii="Arial" w:hAnsi="Arial" w:cs="Arial"/>
          <w:color w:val="000000" w:themeColor="text1"/>
          <w:sz w:val="20"/>
          <w:szCs w:val="20"/>
          <w:lang w:val="es-MX"/>
        </w:rPr>
        <w:t>a prueba</w:t>
      </w:r>
      <w:r w:rsidRPr="00B24164">
        <w:rPr>
          <w:rFonts w:ascii="Arial" w:hAnsi="Arial" w:cs="Arial"/>
          <w:sz w:val="20"/>
          <w:szCs w:val="20"/>
          <w:lang w:val="es-MX"/>
        </w:rPr>
        <w:t xml:space="preserve"> de MN se utiliz</w:t>
      </w:r>
      <w:r w:rsidR="008C53F8" w:rsidRPr="00B24164">
        <w:rPr>
          <w:rFonts w:ascii="Arial" w:hAnsi="Arial" w:cs="Arial"/>
          <w:sz w:val="20"/>
          <w:szCs w:val="20"/>
          <w:lang w:val="es-MX"/>
        </w:rPr>
        <w:t>ó</w:t>
      </w:r>
      <w:r w:rsidRPr="00B24164">
        <w:rPr>
          <w:rFonts w:ascii="Arial" w:hAnsi="Arial" w:cs="Arial"/>
          <w:sz w:val="20"/>
          <w:szCs w:val="20"/>
          <w:lang w:val="es-MX"/>
        </w:rPr>
        <w:t xml:space="preserve"> en diversos ensayos en los que se determinó el efecto micronucleogénico de algunos compuestos aplicados tópicamente en sangre periférica de ratón, lo que evidenció la absorción percutánea de algunos comp</w:t>
      </w:r>
      <w:r w:rsidR="005A7E06" w:rsidRPr="00B24164">
        <w:rPr>
          <w:rFonts w:ascii="Arial" w:hAnsi="Arial" w:cs="Arial"/>
          <w:sz w:val="20"/>
          <w:szCs w:val="20"/>
          <w:lang w:val="es-MX"/>
        </w:rPr>
        <w:t xml:space="preserve">uestos como el 5-Fluorouracilo </w:t>
      </w:r>
      <w:r w:rsidRPr="00B24164">
        <w:rPr>
          <w:rFonts w:ascii="Arial" w:hAnsi="Arial" w:cs="Arial"/>
          <w:sz w:val="20"/>
          <w:szCs w:val="20"/>
          <w:vertAlign w:val="superscript"/>
          <w:lang w:val="es-MX"/>
        </w:rPr>
        <w:t>Zúñiga González, 2002</w:t>
      </w:r>
      <w:r w:rsidR="005A7E06" w:rsidRPr="00B24164">
        <w:rPr>
          <w:rFonts w:ascii="Arial" w:hAnsi="Arial" w:cs="Arial"/>
          <w:sz w:val="20"/>
          <w:szCs w:val="20"/>
          <w:lang w:val="es-MX"/>
        </w:rPr>
        <w:t xml:space="preserve">, Ciclofosfamida </w:t>
      </w:r>
      <w:r w:rsidRPr="00B24164">
        <w:rPr>
          <w:rFonts w:ascii="Arial" w:hAnsi="Arial" w:cs="Arial"/>
          <w:sz w:val="20"/>
          <w:szCs w:val="20"/>
          <w:vertAlign w:val="superscript"/>
          <w:lang w:val="es-MX"/>
        </w:rPr>
        <w:t>Oliveira-</w:t>
      </w:r>
      <w:proofErr w:type="spellStart"/>
      <w:r w:rsidRPr="00B24164">
        <w:rPr>
          <w:rFonts w:ascii="Arial" w:hAnsi="Arial" w:cs="Arial"/>
          <w:sz w:val="20"/>
          <w:szCs w:val="20"/>
          <w:vertAlign w:val="superscript"/>
          <w:lang w:val="es-MX"/>
        </w:rPr>
        <w:t>Martins</w:t>
      </w:r>
      <w:proofErr w:type="spellEnd"/>
      <w:r w:rsidRPr="00B24164">
        <w:rPr>
          <w:rFonts w:ascii="Arial" w:hAnsi="Arial" w:cs="Arial"/>
          <w:sz w:val="20"/>
          <w:szCs w:val="20"/>
          <w:vertAlign w:val="superscript"/>
          <w:lang w:val="es-MX"/>
        </w:rPr>
        <w:t>, 2007</w:t>
      </w:r>
      <w:r w:rsidR="005A7E06" w:rsidRPr="00B24164">
        <w:rPr>
          <w:rFonts w:ascii="Arial" w:hAnsi="Arial" w:cs="Arial"/>
          <w:sz w:val="20"/>
          <w:szCs w:val="20"/>
          <w:lang w:val="es-MX"/>
        </w:rPr>
        <w:t xml:space="preserve">, </w:t>
      </w:r>
      <w:proofErr w:type="spellStart"/>
      <w:r w:rsidR="005A7E06" w:rsidRPr="00B24164">
        <w:rPr>
          <w:rFonts w:ascii="Arial" w:hAnsi="Arial" w:cs="Arial"/>
          <w:sz w:val="20"/>
          <w:szCs w:val="20"/>
          <w:lang w:val="es-MX"/>
        </w:rPr>
        <w:t>Pirfenidone</w:t>
      </w:r>
      <w:proofErr w:type="spellEnd"/>
      <w:r w:rsidR="005A7E06" w:rsidRPr="00B24164">
        <w:rPr>
          <w:rFonts w:ascii="Arial" w:hAnsi="Arial" w:cs="Arial"/>
          <w:sz w:val="20"/>
          <w:szCs w:val="20"/>
          <w:lang w:val="es-MX"/>
        </w:rPr>
        <w:t xml:space="preserve"> </w:t>
      </w:r>
      <w:proofErr w:type="spellStart"/>
      <w:r w:rsidRPr="00B24164">
        <w:rPr>
          <w:rFonts w:ascii="Arial" w:hAnsi="Arial" w:cs="Arial"/>
          <w:sz w:val="20"/>
          <w:szCs w:val="20"/>
          <w:vertAlign w:val="superscript"/>
          <w:lang w:val="es-MX"/>
        </w:rPr>
        <w:t>Alcántar</w:t>
      </w:r>
      <w:proofErr w:type="spellEnd"/>
      <w:r w:rsidRPr="00B24164">
        <w:rPr>
          <w:rFonts w:ascii="Arial" w:hAnsi="Arial" w:cs="Arial"/>
          <w:sz w:val="20"/>
          <w:szCs w:val="20"/>
          <w:vertAlign w:val="superscript"/>
          <w:lang w:val="es-MX"/>
        </w:rPr>
        <w:t>-Díaz, 2012</w:t>
      </w:r>
      <w:r w:rsidR="005A7E06" w:rsidRPr="00B24164">
        <w:rPr>
          <w:rFonts w:ascii="Arial" w:hAnsi="Arial" w:cs="Arial"/>
          <w:sz w:val="20"/>
          <w:szCs w:val="20"/>
          <w:lang w:val="es-MX"/>
        </w:rPr>
        <w:t xml:space="preserve">, pesticidas </w:t>
      </w:r>
      <w:proofErr w:type="spellStart"/>
      <w:r w:rsidRPr="00B24164">
        <w:rPr>
          <w:rFonts w:ascii="Arial" w:hAnsi="Arial" w:cs="Arial"/>
          <w:sz w:val="20"/>
          <w:szCs w:val="20"/>
          <w:vertAlign w:val="superscript"/>
          <w:lang w:val="es-MX"/>
        </w:rPr>
        <w:t>Schop</w:t>
      </w:r>
      <w:proofErr w:type="spellEnd"/>
      <w:r w:rsidRPr="00B24164">
        <w:rPr>
          <w:rFonts w:ascii="Arial" w:hAnsi="Arial" w:cs="Arial"/>
          <w:sz w:val="20"/>
          <w:szCs w:val="20"/>
          <w:vertAlign w:val="superscript"/>
          <w:lang w:val="es-MX"/>
        </w:rPr>
        <w:t>, 1990</w:t>
      </w:r>
      <w:r w:rsidRPr="00B24164">
        <w:rPr>
          <w:rFonts w:ascii="Arial" w:hAnsi="Arial" w:cs="Arial"/>
          <w:sz w:val="20"/>
          <w:szCs w:val="20"/>
          <w:lang w:val="es-MX"/>
        </w:rPr>
        <w:t xml:space="preserve">, aceites minerales lubricantes </w:t>
      </w:r>
      <w:r w:rsidR="005A7E06" w:rsidRPr="00B24164">
        <w:rPr>
          <w:rFonts w:ascii="Arial" w:hAnsi="Arial" w:cs="Arial"/>
          <w:sz w:val="20"/>
          <w:szCs w:val="20"/>
          <w:lang w:val="es-MX"/>
        </w:rPr>
        <w:t xml:space="preserve">e incluso fototerapia </w:t>
      </w:r>
      <w:proofErr w:type="spellStart"/>
      <w:r w:rsidRPr="00B24164">
        <w:rPr>
          <w:rFonts w:ascii="Arial" w:hAnsi="Arial" w:cs="Arial"/>
          <w:sz w:val="20"/>
          <w:szCs w:val="20"/>
          <w:vertAlign w:val="superscript"/>
          <w:lang w:val="es-MX"/>
        </w:rPr>
        <w:t>Zuñiga</w:t>
      </w:r>
      <w:proofErr w:type="spellEnd"/>
      <w:r w:rsidRPr="00B24164">
        <w:rPr>
          <w:rFonts w:ascii="Arial" w:hAnsi="Arial" w:cs="Arial"/>
          <w:sz w:val="20"/>
          <w:szCs w:val="20"/>
          <w:vertAlign w:val="superscript"/>
          <w:lang w:val="es-MX"/>
        </w:rPr>
        <w:t>-González, 2012</w:t>
      </w:r>
      <w:r w:rsidRPr="00B24164">
        <w:rPr>
          <w:rFonts w:ascii="Arial" w:hAnsi="Arial" w:cs="Arial"/>
          <w:sz w:val="20"/>
          <w:szCs w:val="20"/>
          <w:lang w:val="es-MX"/>
        </w:rPr>
        <w:t xml:space="preserve">. Estos son compuestos que se </w:t>
      </w:r>
      <w:r w:rsidR="008851D9" w:rsidRPr="00B24164">
        <w:rPr>
          <w:rFonts w:ascii="Arial" w:hAnsi="Arial" w:cs="Arial"/>
          <w:sz w:val="20"/>
          <w:szCs w:val="20"/>
          <w:lang w:val="es-MX"/>
        </w:rPr>
        <w:t xml:space="preserve">diseminaron  </w:t>
      </w:r>
      <w:r w:rsidRPr="00B24164">
        <w:rPr>
          <w:rFonts w:ascii="Arial" w:hAnsi="Arial" w:cs="Arial"/>
          <w:sz w:val="20"/>
          <w:szCs w:val="20"/>
          <w:lang w:val="es-MX"/>
        </w:rPr>
        <w:t xml:space="preserve">hacia los capilares que irrigan la dermis </w:t>
      </w:r>
      <w:r w:rsidR="008851D9" w:rsidRPr="00B24164">
        <w:rPr>
          <w:rFonts w:ascii="Arial" w:hAnsi="Arial" w:cs="Arial"/>
          <w:sz w:val="20"/>
          <w:szCs w:val="20"/>
          <w:lang w:val="es-MX"/>
        </w:rPr>
        <w:t xml:space="preserve">e incluso hasta </w:t>
      </w:r>
      <w:r w:rsidRPr="00B24164">
        <w:rPr>
          <w:rFonts w:ascii="Arial" w:hAnsi="Arial" w:cs="Arial"/>
          <w:sz w:val="20"/>
          <w:szCs w:val="20"/>
          <w:lang w:val="es-MX"/>
        </w:rPr>
        <w:t>médula ósea después de ser aplicados tópicamente</w:t>
      </w:r>
      <w:r w:rsidR="008851D9" w:rsidRPr="00B24164">
        <w:rPr>
          <w:rFonts w:ascii="Arial" w:hAnsi="Arial" w:cs="Arial"/>
          <w:sz w:val="20"/>
          <w:szCs w:val="20"/>
          <w:lang w:val="es-MX"/>
        </w:rPr>
        <w:t>.</w:t>
      </w:r>
      <w:r w:rsidRPr="00B24164">
        <w:rPr>
          <w:rFonts w:ascii="Arial" w:hAnsi="Arial" w:cs="Arial"/>
          <w:sz w:val="20"/>
          <w:szCs w:val="20"/>
          <w:lang w:val="es-MX"/>
        </w:rPr>
        <w:t xml:space="preserve"> </w:t>
      </w:r>
      <w:r w:rsidR="008851D9" w:rsidRPr="00B24164">
        <w:rPr>
          <w:rFonts w:ascii="Arial" w:hAnsi="Arial" w:cs="Arial"/>
          <w:sz w:val="20"/>
          <w:szCs w:val="20"/>
          <w:lang w:val="es-MX"/>
        </w:rPr>
        <w:t>P</w:t>
      </w:r>
      <w:r w:rsidRPr="00B24164">
        <w:rPr>
          <w:rFonts w:ascii="Arial" w:hAnsi="Arial" w:cs="Arial"/>
          <w:sz w:val="20"/>
          <w:szCs w:val="20"/>
          <w:lang w:val="es-MX"/>
        </w:rPr>
        <w:t xml:space="preserve">or tanto está demostrado que esta prueba es una excelente herramienta para evaluar contaminantes ambientales o medicamentos que causen </w:t>
      </w:r>
      <w:proofErr w:type="spellStart"/>
      <w:r w:rsidRPr="00B24164">
        <w:rPr>
          <w:rFonts w:ascii="Arial" w:hAnsi="Arial" w:cs="Arial"/>
          <w:sz w:val="20"/>
          <w:szCs w:val="20"/>
          <w:lang w:val="es-MX"/>
        </w:rPr>
        <w:t>genotóxicidad</w:t>
      </w:r>
      <w:proofErr w:type="spellEnd"/>
      <w:r w:rsidRPr="00B24164">
        <w:rPr>
          <w:rFonts w:ascii="Arial" w:hAnsi="Arial" w:cs="Arial"/>
          <w:sz w:val="20"/>
          <w:szCs w:val="20"/>
          <w:lang w:val="es-MX"/>
        </w:rPr>
        <w:t xml:space="preserve"> o </w:t>
      </w:r>
      <w:proofErr w:type="spellStart"/>
      <w:r w:rsidRPr="00B24164">
        <w:rPr>
          <w:rFonts w:ascii="Arial" w:hAnsi="Arial" w:cs="Arial"/>
          <w:sz w:val="20"/>
          <w:szCs w:val="20"/>
          <w:lang w:val="es-MX"/>
        </w:rPr>
        <w:t>citotóxicidad</w:t>
      </w:r>
      <w:proofErr w:type="spellEnd"/>
      <w:r w:rsidRPr="00B24164">
        <w:rPr>
          <w:rFonts w:ascii="Arial" w:hAnsi="Arial" w:cs="Arial"/>
          <w:sz w:val="20"/>
          <w:szCs w:val="20"/>
          <w:lang w:val="es-MX"/>
        </w:rPr>
        <w:t xml:space="preserve"> </w:t>
      </w:r>
      <w:r w:rsidR="00DF0D61" w:rsidRPr="00B24164">
        <w:rPr>
          <w:rFonts w:ascii="Arial" w:hAnsi="Arial" w:cs="Arial"/>
          <w:sz w:val="20"/>
          <w:szCs w:val="20"/>
          <w:lang w:val="es-MX"/>
        </w:rPr>
        <w:t xml:space="preserve">a través de exposición cutánea. </w:t>
      </w:r>
      <w:r w:rsidRPr="00B24164">
        <w:rPr>
          <w:rFonts w:ascii="Arial" w:hAnsi="Arial" w:cs="Arial"/>
          <w:sz w:val="20"/>
          <w:szCs w:val="20"/>
          <w:lang w:val="es-MX"/>
        </w:rPr>
        <w:t xml:space="preserve">Por otra parte, al realizar la prueba de MN en sangre periférica se cuenta con </w:t>
      </w:r>
      <w:r w:rsidR="0031201A" w:rsidRPr="00B24164">
        <w:rPr>
          <w:rFonts w:ascii="Arial" w:hAnsi="Arial" w:cs="Arial"/>
          <w:sz w:val="20"/>
          <w:szCs w:val="20"/>
          <w:lang w:val="es-MX"/>
        </w:rPr>
        <w:t xml:space="preserve">la </w:t>
      </w:r>
      <w:r w:rsidRPr="00B24164">
        <w:rPr>
          <w:rFonts w:ascii="Arial" w:hAnsi="Arial" w:cs="Arial"/>
          <w:sz w:val="20"/>
          <w:szCs w:val="20"/>
          <w:lang w:val="es-MX"/>
        </w:rPr>
        <w:t>disponibilidad de eritrocitos policromáticos (EPC) que son eritrocitos jóvenes que en 24 h</w:t>
      </w:r>
      <w:r w:rsidR="00F0098A" w:rsidRPr="00B24164">
        <w:rPr>
          <w:rFonts w:ascii="Arial" w:hAnsi="Arial" w:cs="Arial"/>
          <w:sz w:val="20"/>
          <w:szCs w:val="20"/>
          <w:lang w:val="es-MX"/>
        </w:rPr>
        <w:t>oras</w:t>
      </w:r>
      <w:r w:rsidRPr="00B24164">
        <w:rPr>
          <w:rFonts w:ascii="Arial" w:hAnsi="Arial" w:cs="Arial"/>
          <w:sz w:val="20"/>
          <w:szCs w:val="20"/>
          <w:lang w:val="es-MX"/>
        </w:rPr>
        <w:t xml:space="preserve"> alcanzarán su madurez y se transformarán en eritrocitos normocromático, estos se identifican por la variación en su coloración que refleja la presencia de RNA</w:t>
      </w:r>
      <w:r w:rsidR="003C41C9" w:rsidRPr="00B24164">
        <w:rPr>
          <w:rFonts w:ascii="Arial" w:hAnsi="Arial" w:cs="Arial"/>
          <w:sz w:val="20"/>
          <w:szCs w:val="20"/>
          <w:lang w:val="es-MX"/>
        </w:rPr>
        <w:t xml:space="preserve"> </w:t>
      </w:r>
      <w:proofErr w:type="spellStart"/>
      <w:r w:rsidR="003C41C9" w:rsidRPr="00B24164">
        <w:rPr>
          <w:rFonts w:ascii="Arial" w:hAnsi="Arial" w:cs="Arial"/>
          <w:sz w:val="20"/>
          <w:szCs w:val="20"/>
          <w:vertAlign w:val="superscript"/>
          <w:lang w:val="es-MX"/>
        </w:rPr>
        <w:t>Schmid</w:t>
      </w:r>
      <w:proofErr w:type="spellEnd"/>
      <w:r w:rsidR="003C41C9" w:rsidRPr="00B24164">
        <w:rPr>
          <w:rFonts w:ascii="Arial" w:hAnsi="Arial" w:cs="Arial"/>
          <w:sz w:val="20"/>
          <w:szCs w:val="20"/>
          <w:vertAlign w:val="superscript"/>
          <w:lang w:val="es-MX"/>
        </w:rPr>
        <w:t>,  1975</w:t>
      </w:r>
      <w:r w:rsidR="001A0C39" w:rsidRPr="00B24164">
        <w:rPr>
          <w:rFonts w:ascii="Arial" w:hAnsi="Arial" w:cs="Arial"/>
          <w:sz w:val="20"/>
          <w:szCs w:val="20"/>
          <w:lang w:val="es-MX"/>
        </w:rPr>
        <w:t xml:space="preserve"> </w:t>
      </w:r>
      <w:r w:rsidR="003C41C9" w:rsidRPr="00B24164">
        <w:rPr>
          <w:rFonts w:ascii="Arial" w:hAnsi="Arial" w:cs="Arial"/>
          <w:sz w:val="20"/>
          <w:szCs w:val="20"/>
          <w:lang w:val="es-MX"/>
        </w:rPr>
        <w:t xml:space="preserve">. </w:t>
      </w:r>
      <w:r w:rsidR="001A0C39" w:rsidRPr="00B24164">
        <w:rPr>
          <w:rFonts w:ascii="Arial" w:hAnsi="Arial" w:cs="Arial"/>
          <w:sz w:val="20"/>
          <w:szCs w:val="20"/>
          <w:lang w:val="es-MX"/>
        </w:rPr>
        <w:t>Entonces l</w:t>
      </w:r>
      <w:r w:rsidRPr="00B24164">
        <w:rPr>
          <w:rFonts w:ascii="Arial" w:hAnsi="Arial" w:cs="Arial"/>
          <w:sz w:val="20"/>
          <w:szCs w:val="20"/>
          <w:lang w:val="es-MX"/>
        </w:rPr>
        <w:t>a presencia de MN en EPC (EPCMN) de sangre periférica es consecuencia del daño ocurrido al material ge</w:t>
      </w:r>
      <w:r w:rsidR="003C41C9" w:rsidRPr="00B24164">
        <w:rPr>
          <w:rFonts w:ascii="Arial" w:hAnsi="Arial" w:cs="Arial"/>
          <w:sz w:val="20"/>
          <w:szCs w:val="20"/>
          <w:lang w:val="es-MX"/>
        </w:rPr>
        <w:t xml:space="preserve">nético en las 24 horas previas </w:t>
      </w:r>
      <w:proofErr w:type="spellStart"/>
      <w:r w:rsidRPr="00B24164">
        <w:rPr>
          <w:rFonts w:ascii="Arial" w:hAnsi="Arial" w:cs="Arial"/>
          <w:sz w:val="20"/>
          <w:szCs w:val="20"/>
          <w:vertAlign w:val="superscript"/>
          <w:lang w:val="es-MX"/>
        </w:rPr>
        <w:t>Schmid</w:t>
      </w:r>
      <w:proofErr w:type="spellEnd"/>
      <w:r w:rsidRPr="00B24164">
        <w:rPr>
          <w:rFonts w:ascii="Arial" w:hAnsi="Arial" w:cs="Arial"/>
          <w:sz w:val="20"/>
          <w:szCs w:val="20"/>
          <w:vertAlign w:val="superscript"/>
          <w:lang w:val="es-MX"/>
        </w:rPr>
        <w:t xml:space="preserve">, 1975, </w:t>
      </w:r>
      <w:proofErr w:type="spellStart"/>
      <w:r w:rsidRPr="00B24164">
        <w:rPr>
          <w:rFonts w:ascii="Arial" w:hAnsi="Arial" w:cs="Arial"/>
          <w:sz w:val="20"/>
          <w:szCs w:val="20"/>
          <w:vertAlign w:val="superscript"/>
          <w:lang w:val="es-MX"/>
        </w:rPr>
        <w:t>Heddle</w:t>
      </w:r>
      <w:proofErr w:type="spellEnd"/>
      <w:r w:rsidR="003C41C9" w:rsidRPr="00B24164">
        <w:rPr>
          <w:rFonts w:ascii="Arial" w:hAnsi="Arial" w:cs="Arial"/>
          <w:sz w:val="20"/>
          <w:szCs w:val="20"/>
          <w:vertAlign w:val="superscript"/>
          <w:lang w:val="es-MX"/>
        </w:rPr>
        <w:t>,</w:t>
      </w:r>
      <w:r w:rsidRPr="00B24164">
        <w:rPr>
          <w:rFonts w:ascii="Arial" w:hAnsi="Arial" w:cs="Arial"/>
          <w:sz w:val="20"/>
          <w:szCs w:val="20"/>
          <w:vertAlign w:val="superscript"/>
          <w:lang w:val="es-MX"/>
        </w:rPr>
        <w:t xml:space="preserve"> 1991</w:t>
      </w:r>
      <w:r w:rsidR="0031201A" w:rsidRPr="00B24164">
        <w:rPr>
          <w:rFonts w:ascii="Arial" w:hAnsi="Arial" w:cs="Arial"/>
          <w:sz w:val="20"/>
          <w:szCs w:val="20"/>
          <w:lang w:val="es-MX"/>
        </w:rPr>
        <w:t>, por tanto,</w:t>
      </w:r>
      <w:r w:rsidRPr="00B24164">
        <w:rPr>
          <w:rFonts w:ascii="Arial" w:hAnsi="Arial" w:cs="Arial"/>
          <w:sz w:val="20"/>
          <w:szCs w:val="20"/>
          <w:lang w:val="es-MX"/>
        </w:rPr>
        <w:t xml:space="preserve"> la frecuencia de EPC se utiliza como parámetro para determinar citotoxicidad, ya que la proporción de EPC presentes en sangre periférica  es constante en cada especie, pero suele disminuirse si el individuo recibe compuestos citotóxicos que interfieran con la hemato</w:t>
      </w:r>
      <w:r w:rsidR="001A0C39" w:rsidRPr="00B24164">
        <w:rPr>
          <w:rFonts w:ascii="Arial" w:hAnsi="Arial" w:cs="Arial"/>
          <w:sz w:val="20"/>
          <w:szCs w:val="20"/>
          <w:lang w:val="es-MX"/>
        </w:rPr>
        <w:t>poyesis de mé</w:t>
      </w:r>
      <w:r w:rsidRPr="00B24164">
        <w:rPr>
          <w:rFonts w:ascii="Arial" w:hAnsi="Arial" w:cs="Arial"/>
          <w:sz w:val="20"/>
          <w:szCs w:val="20"/>
          <w:lang w:val="es-MX"/>
        </w:rPr>
        <w:t>dula ós</w:t>
      </w:r>
      <w:r w:rsidR="003C41C9" w:rsidRPr="00B24164">
        <w:rPr>
          <w:rFonts w:ascii="Arial" w:hAnsi="Arial" w:cs="Arial"/>
          <w:sz w:val="20"/>
          <w:szCs w:val="20"/>
          <w:lang w:val="es-MX"/>
        </w:rPr>
        <w:t xml:space="preserve">ea y  provoquen mielosupresión </w:t>
      </w:r>
      <w:proofErr w:type="spellStart"/>
      <w:r w:rsidRPr="00B24164">
        <w:rPr>
          <w:rFonts w:ascii="Arial" w:hAnsi="Arial" w:cs="Arial"/>
          <w:sz w:val="20"/>
          <w:szCs w:val="20"/>
          <w:vertAlign w:val="superscript"/>
          <w:lang w:val="es-MX"/>
        </w:rPr>
        <w:t>Udroiu</w:t>
      </w:r>
      <w:proofErr w:type="spellEnd"/>
      <w:r w:rsidRPr="00B24164">
        <w:rPr>
          <w:rFonts w:ascii="Arial" w:hAnsi="Arial" w:cs="Arial"/>
          <w:sz w:val="20"/>
          <w:szCs w:val="20"/>
          <w:vertAlign w:val="superscript"/>
          <w:lang w:val="es-MX"/>
        </w:rPr>
        <w:t>, 2006</w:t>
      </w:r>
      <w:r w:rsidRPr="00B24164">
        <w:rPr>
          <w:rFonts w:ascii="Arial" w:hAnsi="Arial" w:cs="Arial"/>
          <w:sz w:val="20"/>
          <w:szCs w:val="20"/>
          <w:lang w:val="es-MX"/>
        </w:rPr>
        <w:t>.</w:t>
      </w:r>
      <w:r w:rsidR="009571E1" w:rsidRPr="00B24164">
        <w:rPr>
          <w:rFonts w:ascii="Arial" w:hAnsi="Arial" w:cs="Arial"/>
          <w:sz w:val="20"/>
          <w:szCs w:val="20"/>
          <w:lang w:val="es-MX"/>
        </w:rPr>
        <w:t xml:space="preserve"> </w:t>
      </w:r>
      <w:proofErr w:type="spellStart"/>
      <w:r w:rsidR="00BA782B" w:rsidRPr="00B24164">
        <w:rPr>
          <w:rFonts w:ascii="Arial" w:hAnsi="Arial" w:cs="Arial"/>
          <w:b/>
          <w:sz w:val="20"/>
          <w:szCs w:val="20"/>
          <w:lang w:val="es-MX"/>
        </w:rPr>
        <w:t>Corticosteroides</w:t>
      </w:r>
      <w:proofErr w:type="spellEnd"/>
      <w:r w:rsidR="00BA782B" w:rsidRPr="00B24164">
        <w:rPr>
          <w:rFonts w:ascii="Arial" w:hAnsi="Arial" w:cs="Arial"/>
          <w:b/>
          <w:sz w:val="20"/>
          <w:szCs w:val="20"/>
          <w:lang w:val="es-MX"/>
        </w:rPr>
        <w:t xml:space="preserve"> tópicos</w:t>
      </w:r>
      <w:r w:rsidR="00FB05B2" w:rsidRPr="00B24164">
        <w:rPr>
          <w:rFonts w:ascii="Arial" w:hAnsi="Arial" w:cs="Arial"/>
          <w:b/>
          <w:sz w:val="20"/>
          <w:szCs w:val="20"/>
          <w:lang w:val="es-MX"/>
        </w:rPr>
        <w:t xml:space="preserve">; </w:t>
      </w:r>
      <w:r w:rsidRPr="00B24164">
        <w:rPr>
          <w:rFonts w:ascii="Arial" w:hAnsi="Arial" w:cs="Arial"/>
          <w:sz w:val="20"/>
          <w:szCs w:val="20"/>
          <w:lang w:val="es-MX"/>
        </w:rPr>
        <w:t xml:space="preserve">Los </w:t>
      </w:r>
      <w:proofErr w:type="spellStart"/>
      <w:r w:rsidRPr="00B24164">
        <w:rPr>
          <w:rFonts w:ascii="Arial" w:hAnsi="Arial" w:cs="Arial"/>
          <w:sz w:val="20"/>
          <w:szCs w:val="20"/>
          <w:lang w:val="es-MX"/>
        </w:rPr>
        <w:t>corticosteroides</w:t>
      </w:r>
      <w:proofErr w:type="spellEnd"/>
      <w:r w:rsidRPr="00B24164">
        <w:rPr>
          <w:rFonts w:ascii="Arial" w:hAnsi="Arial" w:cs="Arial"/>
          <w:sz w:val="20"/>
          <w:szCs w:val="20"/>
          <w:lang w:val="es-MX"/>
        </w:rPr>
        <w:t xml:space="preserve"> son derivados de las hormonas liberadas por las glándulas suprarrenales, las formas sintéticas  son elaboradas a partir de la hidrocortisona o del  cortisol, si bien su acción es solamente sintomática, son los medicamentos tópicos mayormente prescritos en la atención primaria y de uso frecuente, incluso son con</w:t>
      </w:r>
      <w:r w:rsidR="003C41C9" w:rsidRPr="00B24164">
        <w:rPr>
          <w:rFonts w:ascii="Arial" w:hAnsi="Arial" w:cs="Arial"/>
          <w:sz w:val="20"/>
          <w:szCs w:val="20"/>
          <w:lang w:val="es-MX"/>
        </w:rPr>
        <w:t xml:space="preserve">siderados como imprescindibles </w:t>
      </w:r>
      <w:r w:rsidRPr="00B24164">
        <w:rPr>
          <w:rFonts w:ascii="Arial" w:hAnsi="Arial" w:cs="Arial"/>
          <w:sz w:val="20"/>
          <w:szCs w:val="20"/>
          <w:vertAlign w:val="superscript"/>
          <w:lang w:val="es-MX"/>
        </w:rPr>
        <w:t>Guerra</w:t>
      </w:r>
      <w:r w:rsidR="009571E1" w:rsidRPr="00B24164">
        <w:rPr>
          <w:rFonts w:ascii="Arial" w:hAnsi="Arial" w:cs="Arial"/>
          <w:sz w:val="20"/>
          <w:szCs w:val="20"/>
          <w:vertAlign w:val="superscript"/>
          <w:lang w:val="es-MX"/>
        </w:rPr>
        <w:t>-</w:t>
      </w:r>
      <w:r w:rsidRPr="00B24164">
        <w:rPr>
          <w:rFonts w:ascii="Arial" w:hAnsi="Arial" w:cs="Arial"/>
          <w:sz w:val="20"/>
          <w:szCs w:val="20"/>
          <w:vertAlign w:val="superscript"/>
          <w:lang w:val="es-MX"/>
        </w:rPr>
        <w:t>Tapia, 2001</w:t>
      </w:r>
      <w:r w:rsidRPr="00B24164">
        <w:rPr>
          <w:rFonts w:ascii="Arial" w:hAnsi="Arial" w:cs="Arial"/>
          <w:sz w:val="20"/>
          <w:szCs w:val="20"/>
          <w:lang w:val="es-MX"/>
        </w:rPr>
        <w:t xml:space="preserve">, y es por sus efectos antiinflamatorio, </w:t>
      </w:r>
      <w:proofErr w:type="spellStart"/>
      <w:r w:rsidRPr="00B24164">
        <w:rPr>
          <w:rFonts w:ascii="Arial" w:hAnsi="Arial" w:cs="Arial"/>
          <w:sz w:val="20"/>
          <w:szCs w:val="20"/>
          <w:lang w:val="es-MX"/>
        </w:rPr>
        <w:t>antiprurítico</w:t>
      </w:r>
      <w:proofErr w:type="spellEnd"/>
      <w:r w:rsidRPr="00B24164">
        <w:rPr>
          <w:rFonts w:ascii="Arial" w:hAnsi="Arial" w:cs="Arial"/>
          <w:sz w:val="20"/>
          <w:szCs w:val="20"/>
          <w:lang w:val="es-MX"/>
        </w:rPr>
        <w:t xml:space="preserve">, </w:t>
      </w:r>
      <w:proofErr w:type="spellStart"/>
      <w:r w:rsidRPr="00B24164">
        <w:rPr>
          <w:rFonts w:ascii="Arial" w:hAnsi="Arial" w:cs="Arial"/>
          <w:sz w:val="20"/>
          <w:szCs w:val="20"/>
          <w:lang w:val="es-MX"/>
        </w:rPr>
        <w:t>antiproliferativo</w:t>
      </w:r>
      <w:proofErr w:type="spellEnd"/>
      <w:r w:rsidRPr="00B24164">
        <w:rPr>
          <w:rFonts w:ascii="Arial" w:hAnsi="Arial" w:cs="Arial"/>
          <w:sz w:val="20"/>
          <w:szCs w:val="20"/>
          <w:lang w:val="es-MX"/>
        </w:rPr>
        <w:t>, vasoconstrictor e inmunosupresor, que son útiles en los tratamientos de procesos inflamatorios que no son secundarios a infecciones, sin embargo,  el uso inadecuado o prolongado son factores de alto riesgo para efectos indeseados locales o</w:t>
      </w:r>
      <w:r w:rsidR="008A6E72" w:rsidRPr="00B24164">
        <w:rPr>
          <w:rFonts w:ascii="Arial" w:hAnsi="Arial" w:cs="Arial"/>
          <w:sz w:val="20"/>
          <w:szCs w:val="20"/>
          <w:lang w:val="es-MX"/>
        </w:rPr>
        <w:t xml:space="preserve"> </w:t>
      </w:r>
      <w:r w:rsidRPr="00B24164">
        <w:rPr>
          <w:rFonts w:ascii="Arial" w:hAnsi="Arial" w:cs="Arial"/>
          <w:sz w:val="20"/>
          <w:szCs w:val="20"/>
          <w:lang w:val="es-MX"/>
        </w:rPr>
        <w:t>sistémicos, reversibles e irreversibles, especialmente en niños pe</w:t>
      </w:r>
      <w:r w:rsidR="0073400D">
        <w:rPr>
          <w:rFonts w:ascii="Arial" w:hAnsi="Arial" w:cs="Arial"/>
          <w:sz w:val="20"/>
          <w:szCs w:val="20"/>
          <w:lang w:val="es-MX"/>
        </w:rPr>
        <w:t xml:space="preserve">queños y ancianos </w:t>
      </w:r>
      <w:proofErr w:type="spellStart"/>
      <w:r w:rsidR="0073400D" w:rsidRPr="00FC464B">
        <w:rPr>
          <w:rFonts w:ascii="Arial" w:hAnsi="Arial" w:cs="Arial"/>
          <w:sz w:val="20"/>
          <w:szCs w:val="20"/>
          <w:vertAlign w:val="superscript"/>
          <w:lang w:val="es-MX"/>
        </w:rPr>
        <w:t>Khalid</w:t>
      </w:r>
      <w:proofErr w:type="spellEnd"/>
      <w:r w:rsidR="0073400D" w:rsidRPr="00FC464B">
        <w:rPr>
          <w:rFonts w:ascii="Arial" w:hAnsi="Arial" w:cs="Arial"/>
          <w:sz w:val="20"/>
          <w:szCs w:val="20"/>
          <w:vertAlign w:val="superscript"/>
          <w:lang w:val="es-MX"/>
        </w:rPr>
        <w:t>, 2007</w:t>
      </w:r>
      <w:r w:rsidRPr="00B24164">
        <w:rPr>
          <w:rFonts w:ascii="Arial" w:hAnsi="Arial" w:cs="Arial"/>
          <w:sz w:val="20"/>
          <w:szCs w:val="20"/>
          <w:lang w:val="es-MX"/>
        </w:rPr>
        <w:t xml:space="preserve">. Los efectos benéficos como adversos dependen básicamente de la potencia del corticosteroide, así como del área del cuerpo tratada, la extensión de la dermatosis y </w:t>
      </w:r>
      <w:r w:rsidR="008A6E72" w:rsidRPr="00B24164">
        <w:rPr>
          <w:rFonts w:ascii="Arial" w:hAnsi="Arial" w:cs="Arial"/>
          <w:sz w:val="20"/>
          <w:szCs w:val="20"/>
          <w:lang w:val="es-MX"/>
        </w:rPr>
        <w:t xml:space="preserve">de la duración del tratamiento </w:t>
      </w:r>
      <w:proofErr w:type="spellStart"/>
      <w:r w:rsidRPr="00B24164">
        <w:rPr>
          <w:rFonts w:ascii="Arial" w:hAnsi="Arial" w:cs="Arial"/>
          <w:sz w:val="20"/>
          <w:szCs w:val="20"/>
          <w:vertAlign w:val="superscript"/>
          <w:lang w:val="es-MX"/>
        </w:rPr>
        <w:t>Vatti</w:t>
      </w:r>
      <w:proofErr w:type="spellEnd"/>
      <w:r w:rsidRPr="00B24164">
        <w:rPr>
          <w:rFonts w:ascii="Arial" w:hAnsi="Arial" w:cs="Arial"/>
          <w:sz w:val="20"/>
          <w:szCs w:val="20"/>
          <w:vertAlign w:val="superscript"/>
          <w:lang w:val="es-MX"/>
        </w:rPr>
        <w:t xml:space="preserve">, 2013, </w:t>
      </w:r>
      <w:proofErr w:type="spellStart"/>
      <w:r w:rsidRPr="00B24164">
        <w:rPr>
          <w:rFonts w:ascii="Arial" w:hAnsi="Arial" w:cs="Arial"/>
          <w:sz w:val="20"/>
          <w:szCs w:val="20"/>
          <w:vertAlign w:val="superscript"/>
          <w:lang w:val="es-MX"/>
        </w:rPr>
        <w:t>Ballona</w:t>
      </w:r>
      <w:proofErr w:type="spellEnd"/>
      <w:r w:rsidR="003E2741" w:rsidRPr="00B24164">
        <w:rPr>
          <w:rFonts w:ascii="Arial" w:hAnsi="Arial" w:cs="Arial"/>
          <w:sz w:val="20"/>
          <w:szCs w:val="20"/>
          <w:vertAlign w:val="superscript"/>
          <w:lang w:val="es-MX"/>
        </w:rPr>
        <w:t xml:space="preserve">, 2003; </w:t>
      </w:r>
      <w:proofErr w:type="spellStart"/>
      <w:r w:rsidR="003E2741" w:rsidRPr="00B24164">
        <w:rPr>
          <w:rFonts w:ascii="Arial" w:hAnsi="Arial" w:cs="Arial"/>
          <w:sz w:val="20"/>
          <w:szCs w:val="20"/>
          <w:vertAlign w:val="superscript"/>
          <w:lang w:val="es-MX"/>
        </w:rPr>
        <w:t>Alejandre</w:t>
      </w:r>
      <w:proofErr w:type="spellEnd"/>
      <w:r w:rsidR="003E2741" w:rsidRPr="00B24164">
        <w:rPr>
          <w:rFonts w:ascii="Arial" w:hAnsi="Arial" w:cs="Arial"/>
          <w:sz w:val="20"/>
          <w:szCs w:val="20"/>
          <w:vertAlign w:val="superscript"/>
          <w:lang w:val="es-MX"/>
        </w:rPr>
        <w:t>-Lázaro, 2010</w:t>
      </w:r>
      <w:r w:rsidRPr="00B24164">
        <w:rPr>
          <w:rFonts w:ascii="Arial" w:hAnsi="Arial" w:cs="Arial"/>
          <w:sz w:val="20"/>
          <w:szCs w:val="20"/>
          <w:lang w:val="es-MX"/>
        </w:rPr>
        <w:t>. Desde 1952</w:t>
      </w:r>
      <w:r w:rsidR="008A6E72" w:rsidRPr="00B24164">
        <w:rPr>
          <w:rFonts w:ascii="Arial" w:hAnsi="Arial" w:cs="Arial"/>
          <w:sz w:val="20"/>
          <w:szCs w:val="20"/>
          <w:lang w:val="es-MX"/>
        </w:rPr>
        <w:t xml:space="preserve"> </w:t>
      </w:r>
      <w:r w:rsidRPr="00B24164">
        <w:rPr>
          <w:rFonts w:ascii="Arial" w:hAnsi="Arial" w:cs="Arial"/>
          <w:sz w:val="20"/>
          <w:szCs w:val="20"/>
          <w:lang w:val="es-MX"/>
        </w:rPr>
        <w:t>la industria farmacéutica está buscando mejorar su perfil farmacológico, para ello  se realizan innumerables cambios en estos compuesto con el fin de aumentar la penetrabilidad cutánea y la potencia y a su vez dis</w:t>
      </w:r>
      <w:r w:rsidR="003E2741" w:rsidRPr="00B24164">
        <w:rPr>
          <w:rFonts w:ascii="Arial" w:hAnsi="Arial" w:cs="Arial"/>
          <w:sz w:val="20"/>
          <w:szCs w:val="20"/>
          <w:lang w:val="es-MX"/>
        </w:rPr>
        <w:t xml:space="preserve">minuir los efectos secundarios </w:t>
      </w:r>
      <w:r w:rsidRPr="00B24164">
        <w:rPr>
          <w:rFonts w:ascii="Arial" w:hAnsi="Arial" w:cs="Arial"/>
          <w:sz w:val="20"/>
          <w:szCs w:val="20"/>
          <w:vertAlign w:val="superscript"/>
          <w:lang w:val="es-MX"/>
        </w:rPr>
        <w:t>Lázaro, 2010</w:t>
      </w:r>
      <w:r w:rsidRPr="00B24164">
        <w:rPr>
          <w:rFonts w:ascii="Arial" w:hAnsi="Arial" w:cs="Arial"/>
          <w:sz w:val="20"/>
          <w:szCs w:val="20"/>
          <w:lang w:val="es-MX"/>
        </w:rPr>
        <w:t>.</w:t>
      </w:r>
      <w:r w:rsidR="007A57D9" w:rsidRPr="00B24164">
        <w:rPr>
          <w:rFonts w:ascii="Arial" w:hAnsi="Arial" w:cs="Arial"/>
          <w:sz w:val="20"/>
          <w:szCs w:val="20"/>
          <w:lang w:val="es-MX"/>
        </w:rPr>
        <w:t xml:space="preserve"> </w:t>
      </w:r>
    </w:p>
    <w:p w:rsidR="00CC3695" w:rsidRPr="00B24164" w:rsidRDefault="00CC3695" w:rsidP="00CC3695">
      <w:pPr>
        <w:jc w:val="both"/>
        <w:rPr>
          <w:rFonts w:ascii="Arial" w:hAnsi="Arial" w:cs="Arial"/>
          <w:sz w:val="20"/>
          <w:szCs w:val="20"/>
          <w:lang w:val="es-MX"/>
        </w:rPr>
      </w:pPr>
      <w:r w:rsidRPr="00B24164">
        <w:rPr>
          <w:rFonts w:ascii="Arial" w:hAnsi="Arial" w:cs="Arial"/>
          <w:sz w:val="20"/>
          <w:szCs w:val="20"/>
          <w:lang w:val="es-MX"/>
        </w:rPr>
        <w:t xml:space="preserve">Así entonces los distintos </w:t>
      </w:r>
      <w:proofErr w:type="spellStart"/>
      <w:r w:rsidRPr="00B24164">
        <w:rPr>
          <w:rFonts w:ascii="Arial" w:hAnsi="Arial" w:cs="Arial"/>
          <w:sz w:val="20"/>
          <w:szCs w:val="20"/>
          <w:lang w:val="es-MX"/>
        </w:rPr>
        <w:t>corticosteroides</w:t>
      </w:r>
      <w:proofErr w:type="spellEnd"/>
      <w:r w:rsidRPr="00B24164">
        <w:rPr>
          <w:rFonts w:ascii="Arial" w:hAnsi="Arial" w:cs="Arial"/>
          <w:sz w:val="20"/>
          <w:szCs w:val="20"/>
          <w:lang w:val="es-MX"/>
        </w:rPr>
        <w:t xml:space="preserve"> cuentan con una estructura química que difiere en ciertos grupos funcionales, esto les confiere penetrabilidad cutánea, potencia (medida por el grado de penetrabilidad y afinidad a los receptores) y efectos secundarios distintos dependiendo de la molécula. Los </w:t>
      </w:r>
      <w:proofErr w:type="spellStart"/>
      <w:r w:rsidRPr="00B24164">
        <w:rPr>
          <w:rFonts w:ascii="Arial" w:hAnsi="Arial" w:cs="Arial"/>
          <w:sz w:val="20"/>
          <w:szCs w:val="20"/>
          <w:lang w:val="es-MX"/>
        </w:rPr>
        <w:t>corticosteroides</w:t>
      </w:r>
      <w:proofErr w:type="spellEnd"/>
      <w:r w:rsidRPr="00B24164">
        <w:rPr>
          <w:rFonts w:ascii="Arial" w:hAnsi="Arial" w:cs="Arial"/>
          <w:sz w:val="20"/>
          <w:szCs w:val="20"/>
          <w:lang w:val="es-MX"/>
        </w:rPr>
        <w:t xml:space="preserve"> tópicos se clasifican según su potencia y eficiencia clínica en cuatro grupos, subdivididos a su vez en siete clases: los de la clase I son los más potentes y los d</w:t>
      </w:r>
      <w:r w:rsidR="00314DD1" w:rsidRPr="00B24164">
        <w:rPr>
          <w:rFonts w:ascii="Arial" w:hAnsi="Arial" w:cs="Arial"/>
          <w:sz w:val="20"/>
          <w:szCs w:val="20"/>
          <w:lang w:val="es-MX"/>
        </w:rPr>
        <w:t xml:space="preserve">e la clase </w:t>
      </w:r>
      <w:r w:rsidR="00314DD1" w:rsidRPr="00B24164">
        <w:rPr>
          <w:rFonts w:ascii="Arial" w:hAnsi="Arial" w:cs="Arial"/>
          <w:sz w:val="20"/>
          <w:szCs w:val="20"/>
          <w:lang w:val="es-MX"/>
        </w:rPr>
        <w:lastRenderedPageBreak/>
        <w:t xml:space="preserve">VII los más débiles </w:t>
      </w:r>
      <w:proofErr w:type="spellStart"/>
      <w:r w:rsidRPr="00B24164">
        <w:rPr>
          <w:rFonts w:ascii="Arial" w:hAnsi="Arial" w:cs="Arial"/>
          <w:sz w:val="20"/>
          <w:szCs w:val="20"/>
          <w:vertAlign w:val="superscript"/>
          <w:lang w:val="es-MX"/>
        </w:rPr>
        <w:t>Ballon</w:t>
      </w:r>
      <w:r w:rsidR="00314DD1" w:rsidRPr="00B24164">
        <w:rPr>
          <w:rFonts w:ascii="Arial" w:hAnsi="Arial" w:cs="Arial"/>
          <w:sz w:val="20"/>
          <w:szCs w:val="20"/>
          <w:vertAlign w:val="superscript"/>
          <w:lang w:val="es-MX"/>
        </w:rPr>
        <w:t>a</w:t>
      </w:r>
      <w:proofErr w:type="spellEnd"/>
      <w:r w:rsidR="00314DD1" w:rsidRPr="00B24164">
        <w:rPr>
          <w:rFonts w:ascii="Arial" w:hAnsi="Arial" w:cs="Arial"/>
          <w:sz w:val="20"/>
          <w:szCs w:val="20"/>
          <w:vertAlign w:val="superscript"/>
          <w:lang w:val="es-MX"/>
        </w:rPr>
        <w:t>, 2003</w:t>
      </w:r>
      <w:r w:rsidRPr="00B24164">
        <w:rPr>
          <w:rFonts w:ascii="Arial" w:hAnsi="Arial" w:cs="Arial"/>
          <w:sz w:val="20"/>
          <w:szCs w:val="20"/>
          <w:lang w:val="es-MX"/>
        </w:rPr>
        <w:t xml:space="preserve">. El anillo básico de los esteroides </w:t>
      </w:r>
      <w:proofErr w:type="spellStart"/>
      <w:r w:rsidRPr="00B24164">
        <w:rPr>
          <w:rFonts w:ascii="Arial" w:hAnsi="Arial" w:cs="Arial"/>
          <w:sz w:val="20"/>
          <w:szCs w:val="20"/>
          <w:lang w:val="es-MX"/>
        </w:rPr>
        <w:t>ciclopentanoperhidrofenantreno</w:t>
      </w:r>
      <w:proofErr w:type="spellEnd"/>
      <w:r w:rsidRPr="00B24164">
        <w:rPr>
          <w:rFonts w:ascii="Arial" w:hAnsi="Arial" w:cs="Arial"/>
          <w:sz w:val="20"/>
          <w:szCs w:val="20"/>
          <w:lang w:val="es-MX"/>
        </w:rPr>
        <w:t xml:space="preserve"> es modificado mediante diferentes procesos como la halogenación y/o esterificación para mejorar su efectividad. Entre las primeras moléculas obtenidas mediante el proceso de halogenación fueron la </w:t>
      </w:r>
      <w:proofErr w:type="spellStart"/>
      <w:r w:rsidRPr="00B24164">
        <w:rPr>
          <w:rFonts w:ascii="Arial" w:hAnsi="Arial" w:cs="Arial"/>
          <w:sz w:val="20"/>
          <w:szCs w:val="20"/>
          <w:lang w:val="es-MX"/>
        </w:rPr>
        <w:t>Fluocinolona</w:t>
      </w:r>
      <w:proofErr w:type="spellEnd"/>
      <w:r w:rsidRPr="00B24164">
        <w:rPr>
          <w:rFonts w:ascii="Arial" w:hAnsi="Arial" w:cs="Arial"/>
          <w:sz w:val="20"/>
          <w:szCs w:val="20"/>
          <w:lang w:val="es-MX"/>
        </w:rPr>
        <w:t xml:space="preserve">  y </w:t>
      </w:r>
      <w:proofErr w:type="spellStart"/>
      <w:r w:rsidRPr="00B24164">
        <w:rPr>
          <w:rFonts w:ascii="Arial" w:hAnsi="Arial" w:cs="Arial"/>
          <w:sz w:val="20"/>
          <w:szCs w:val="20"/>
          <w:lang w:val="es-MX"/>
        </w:rPr>
        <w:t>Beclometasona</w:t>
      </w:r>
      <w:proofErr w:type="spellEnd"/>
      <w:r w:rsidRPr="00B24164">
        <w:rPr>
          <w:rFonts w:ascii="Arial" w:hAnsi="Arial" w:cs="Arial"/>
          <w:sz w:val="20"/>
          <w:szCs w:val="20"/>
          <w:lang w:val="es-MX"/>
        </w:rPr>
        <w:t xml:space="preserve">, esta modificación potencia la actividad de los esteroides además se protege de la acción de las enzimas epidérmicas; en los esteroides de  segunda generación la adición de </w:t>
      </w:r>
      <w:proofErr w:type="spellStart"/>
      <w:r w:rsidRPr="00B24164">
        <w:rPr>
          <w:rFonts w:ascii="Arial" w:hAnsi="Arial" w:cs="Arial"/>
          <w:sz w:val="20"/>
          <w:szCs w:val="20"/>
          <w:lang w:val="es-MX"/>
        </w:rPr>
        <w:t>acetónidos</w:t>
      </w:r>
      <w:proofErr w:type="spellEnd"/>
      <w:r w:rsidRPr="00B24164">
        <w:rPr>
          <w:rFonts w:ascii="Arial" w:hAnsi="Arial" w:cs="Arial"/>
          <w:sz w:val="20"/>
          <w:szCs w:val="20"/>
          <w:lang w:val="es-MX"/>
        </w:rPr>
        <w:t xml:space="preserve"> y alfa o beta metilación (</w:t>
      </w:r>
      <w:proofErr w:type="spellStart"/>
      <w:r w:rsidRPr="00B24164">
        <w:rPr>
          <w:rFonts w:ascii="Arial" w:hAnsi="Arial" w:cs="Arial"/>
          <w:sz w:val="20"/>
          <w:szCs w:val="20"/>
          <w:lang w:val="es-MX"/>
        </w:rPr>
        <w:t>dexametasona</w:t>
      </w:r>
      <w:proofErr w:type="spellEnd"/>
      <w:r w:rsidRPr="00B24164">
        <w:rPr>
          <w:rFonts w:ascii="Arial" w:hAnsi="Arial" w:cs="Arial"/>
          <w:sz w:val="20"/>
          <w:szCs w:val="20"/>
          <w:lang w:val="es-MX"/>
        </w:rPr>
        <w:t xml:space="preserve"> y </w:t>
      </w:r>
      <w:proofErr w:type="spellStart"/>
      <w:r w:rsidRPr="00B24164">
        <w:rPr>
          <w:rFonts w:ascii="Arial" w:hAnsi="Arial" w:cs="Arial"/>
          <w:sz w:val="20"/>
          <w:szCs w:val="20"/>
          <w:lang w:val="es-MX"/>
        </w:rPr>
        <w:t>betametasona</w:t>
      </w:r>
      <w:proofErr w:type="spellEnd"/>
      <w:r w:rsidRPr="00B24164">
        <w:rPr>
          <w:rFonts w:ascii="Arial" w:hAnsi="Arial" w:cs="Arial"/>
          <w:sz w:val="20"/>
          <w:szCs w:val="20"/>
          <w:lang w:val="es-MX"/>
        </w:rPr>
        <w:t xml:space="preserve">) aumenta la penetrabilidad y la actividad antinflamatoria y se disminuyen los efectos </w:t>
      </w:r>
      <w:proofErr w:type="spellStart"/>
      <w:r w:rsidRPr="00B24164">
        <w:rPr>
          <w:rFonts w:ascii="Arial" w:hAnsi="Arial" w:cs="Arial"/>
          <w:sz w:val="20"/>
          <w:szCs w:val="20"/>
          <w:lang w:val="es-MX"/>
        </w:rPr>
        <w:t>mineralocorticoides</w:t>
      </w:r>
      <w:proofErr w:type="spellEnd"/>
      <w:r w:rsidRPr="00B24164">
        <w:rPr>
          <w:rFonts w:ascii="Arial" w:hAnsi="Arial" w:cs="Arial"/>
          <w:sz w:val="20"/>
          <w:szCs w:val="20"/>
          <w:lang w:val="es-MX"/>
        </w:rPr>
        <w:t xml:space="preserve">, la modificación con grupos </w:t>
      </w:r>
      <w:proofErr w:type="spellStart"/>
      <w:r w:rsidRPr="00B24164">
        <w:rPr>
          <w:rFonts w:ascii="Arial" w:hAnsi="Arial" w:cs="Arial"/>
          <w:sz w:val="20"/>
          <w:szCs w:val="20"/>
          <w:lang w:val="es-MX"/>
        </w:rPr>
        <w:t>lipofílicos</w:t>
      </w:r>
      <w:proofErr w:type="spellEnd"/>
      <w:r w:rsidRPr="00B24164">
        <w:rPr>
          <w:rFonts w:ascii="Arial" w:hAnsi="Arial" w:cs="Arial"/>
          <w:sz w:val="20"/>
          <w:szCs w:val="20"/>
          <w:lang w:val="es-MX"/>
        </w:rPr>
        <w:t xml:space="preserve"> permite mayor grado de penetrabilidad como es el caso del 17 </w:t>
      </w:r>
      <w:proofErr w:type="spellStart"/>
      <w:r w:rsidRPr="00B24164">
        <w:rPr>
          <w:rFonts w:ascii="Arial" w:hAnsi="Arial" w:cs="Arial"/>
          <w:sz w:val="20"/>
          <w:szCs w:val="20"/>
          <w:lang w:val="es-MX"/>
        </w:rPr>
        <w:t>valerato</w:t>
      </w:r>
      <w:proofErr w:type="spellEnd"/>
      <w:r w:rsidRPr="00B24164">
        <w:rPr>
          <w:rFonts w:ascii="Arial" w:hAnsi="Arial" w:cs="Arial"/>
          <w:sz w:val="20"/>
          <w:szCs w:val="20"/>
          <w:lang w:val="es-MX"/>
        </w:rPr>
        <w:t xml:space="preserve"> de </w:t>
      </w:r>
      <w:proofErr w:type="spellStart"/>
      <w:r w:rsidRPr="00B24164">
        <w:rPr>
          <w:rFonts w:ascii="Arial" w:hAnsi="Arial" w:cs="Arial"/>
          <w:sz w:val="20"/>
          <w:szCs w:val="20"/>
          <w:lang w:val="es-MX"/>
        </w:rPr>
        <w:t>betametasona</w:t>
      </w:r>
      <w:proofErr w:type="spellEnd"/>
      <w:r w:rsidRPr="00B24164">
        <w:rPr>
          <w:rFonts w:ascii="Arial" w:hAnsi="Arial" w:cs="Arial"/>
          <w:sz w:val="20"/>
          <w:szCs w:val="20"/>
          <w:lang w:val="es-MX"/>
        </w:rPr>
        <w:t xml:space="preserve"> y 17 </w:t>
      </w:r>
      <w:proofErr w:type="spellStart"/>
      <w:r w:rsidRPr="00B24164">
        <w:rPr>
          <w:rFonts w:ascii="Arial" w:hAnsi="Arial" w:cs="Arial"/>
          <w:sz w:val="20"/>
          <w:szCs w:val="20"/>
          <w:lang w:val="es-MX"/>
        </w:rPr>
        <w:t>propionato</w:t>
      </w:r>
      <w:proofErr w:type="spellEnd"/>
      <w:r w:rsidRPr="00B24164">
        <w:rPr>
          <w:rFonts w:ascii="Arial" w:hAnsi="Arial" w:cs="Arial"/>
          <w:sz w:val="20"/>
          <w:szCs w:val="20"/>
          <w:lang w:val="es-MX"/>
        </w:rPr>
        <w:t xml:space="preserve"> de </w:t>
      </w:r>
      <w:proofErr w:type="spellStart"/>
      <w:r w:rsidRPr="00B24164">
        <w:rPr>
          <w:rFonts w:ascii="Arial" w:hAnsi="Arial" w:cs="Arial"/>
          <w:sz w:val="20"/>
          <w:szCs w:val="20"/>
          <w:lang w:val="es-MX"/>
        </w:rPr>
        <w:t>clobetasol</w:t>
      </w:r>
      <w:proofErr w:type="spellEnd"/>
      <w:r w:rsidRPr="00B24164">
        <w:rPr>
          <w:rFonts w:ascii="Arial" w:hAnsi="Arial" w:cs="Arial"/>
          <w:sz w:val="20"/>
          <w:szCs w:val="20"/>
          <w:lang w:val="es-MX"/>
        </w:rPr>
        <w:t xml:space="preserve"> considerado com</w:t>
      </w:r>
      <w:r w:rsidR="0088236A" w:rsidRPr="00B24164">
        <w:rPr>
          <w:rFonts w:ascii="Arial" w:hAnsi="Arial" w:cs="Arial"/>
          <w:sz w:val="20"/>
          <w:szCs w:val="20"/>
          <w:lang w:val="es-MX"/>
        </w:rPr>
        <w:t xml:space="preserve">o esteroide de alta potencia,  </w:t>
      </w:r>
      <w:proofErr w:type="spellStart"/>
      <w:r w:rsidRPr="00B24164">
        <w:rPr>
          <w:rFonts w:ascii="Arial" w:hAnsi="Arial" w:cs="Arial"/>
          <w:sz w:val="20"/>
          <w:szCs w:val="20"/>
          <w:vertAlign w:val="superscript"/>
          <w:lang w:val="es-MX"/>
        </w:rPr>
        <w:t>Ballona</w:t>
      </w:r>
      <w:proofErr w:type="spellEnd"/>
      <w:r w:rsidRPr="00B24164">
        <w:rPr>
          <w:rFonts w:ascii="Arial" w:hAnsi="Arial" w:cs="Arial"/>
          <w:sz w:val="20"/>
          <w:szCs w:val="20"/>
          <w:vertAlign w:val="superscript"/>
          <w:lang w:val="es-MX"/>
        </w:rPr>
        <w:t>, 2003</w:t>
      </w:r>
      <w:r w:rsidRPr="00B24164">
        <w:rPr>
          <w:rFonts w:ascii="Arial" w:hAnsi="Arial" w:cs="Arial"/>
          <w:sz w:val="20"/>
          <w:szCs w:val="20"/>
          <w:lang w:val="es-MX"/>
        </w:rPr>
        <w:t xml:space="preserve">. La doble halogenación permite la máxima potencia como ocurre con el </w:t>
      </w:r>
      <w:proofErr w:type="spellStart"/>
      <w:r w:rsidRPr="00B24164">
        <w:rPr>
          <w:rFonts w:ascii="Arial" w:hAnsi="Arial" w:cs="Arial"/>
          <w:sz w:val="20"/>
          <w:szCs w:val="20"/>
          <w:lang w:val="es-MX"/>
        </w:rPr>
        <w:t>clobetasol</w:t>
      </w:r>
      <w:proofErr w:type="spellEnd"/>
      <w:r w:rsidRPr="00B24164">
        <w:rPr>
          <w:rFonts w:ascii="Arial" w:hAnsi="Arial" w:cs="Arial"/>
          <w:sz w:val="20"/>
          <w:szCs w:val="20"/>
          <w:lang w:val="es-MX"/>
        </w:rPr>
        <w:t xml:space="preserve"> y la </w:t>
      </w:r>
      <w:proofErr w:type="spellStart"/>
      <w:r w:rsidRPr="00B24164">
        <w:rPr>
          <w:rFonts w:ascii="Arial" w:hAnsi="Arial" w:cs="Arial"/>
          <w:sz w:val="20"/>
          <w:szCs w:val="20"/>
          <w:lang w:val="es-MX"/>
        </w:rPr>
        <w:t>mometasona</w:t>
      </w:r>
      <w:proofErr w:type="spellEnd"/>
      <w:r w:rsidRPr="00B24164">
        <w:rPr>
          <w:rFonts w:ascii="Arial" w:hAnsi="Arial" w:cs="Arial"/>
          <w:sz w:val="20"/>
          <w:szCs w:val="20"/>
          <w:lang w:val="es-MX"/>
        </w:rPr>
        <w:t xml:space="preserve">, en cambio la esterificación permite aumentar la </w:t>
      </w:r>
      <w:proofErr w:type="spellStart"/>
      <w:r w:rsidRPr="00B24164">
        <w:rPr>
          <w:rFonts w:ascii="Arial" w:hAnsi="Arial" w:cs="Arial"/>
          <w:sz w:val="20"/>
          <w:szCs w:val="20"/>
          <w:lang w:val="es-MX"/>
        </w:rPr>
        <w:t>liposolubilidad</w:t>
      </w:r>
      <w:proofErr w:type="spellEnd"/>
      <w:r w:rsidRPr="00B24164">
        <w:rPr>
          <w:rFonts w:ascii="Arial" w:hAnsi="Arial" w:cs="Arial"/>
          <w:sz w:val="20"/>
          <w:szCs w:val="20"/>
          <w:lang w:val="es-MX"/>
        </w:rPr>
        <w:t xml:space="preserve"> y penetración de los esteroides, por lo tanto estos </w:t>
      </w:r>
      <w:proofErr w:type="spellStart"/>
      <w:r w:rsidRPr="00B24164">
        <w:rPr>
          <w:rFonts w:ascii="Arial" w:hAnsi="Arial" w:cs="Arial"/>
          <w:sz w:val="20"/>
          <w:szCs w:val="20"/>
          <w:lang w:val="es-MX"/>
        </w:rPr>
        <w:t>corticosteroides</w:t>
      </w:r>
      <w:proofErr w:type="spellEnd"/>
      <w:r w:rsidRPr="00B24164">
        <w:rPr>
          <w:rFonts w:ascii="Arial" w:hAnsi="Arial" w:cs="Arial"/>
          <w:sz w:val="20"/>
          <w:szCs w:val="20"/>
          <w:lang w:val="es-MX"/>
        </w:rPr>
        <w:t xml:space="preserve"> pueden ser convertidos en piel a metabolitos inactivos que al llegar a la circulación sistémica carecen de sus efectos habituales y en teoría tendrían nulos efectos adversos, a este grupo de compuestos se les denomina tóp</w:t>
      </w:r>
      <w:r w:rsidR="0088236A" w:rsidRPr="00B24164">
        <w:rPr>
          <w:rFonts w:ascii="Arial" w:hAnsi="Arial" w:cs="Arial"/>
          <w:sz w:val="20"/>
          <w:szCs w:val="20"/>
          <w:lang w:val="es-MX"/>
        </w:rPr>
        <w:t xml:space="preserve">icos suaves o de baja potencia </w:t>
      </w:r>
      <w:proofErr w:type="spellStart"/>
      <w:r w:rsidRPr="00B24164">
        <w:rPr>
          <w:rFonts w:ascii="Arial" w:hAnsi="Arial" w:cs="Arial"/>
          <w:sz w:val="20"/>
          <w:szCs w:val="20"/>
          <w:vertAlign w:val="superscript"/>
          <w:lang w:val="es-MX"/>
        </w:rPr>
        <w:t>Ballona</w:t>
      </w:r>
      <w:proofErr w:type="spellEnd"/>
      <w:r w:rsidRPr="00B24164">
        <w:rPr>
          <w:rFonts w:ascii="Arial" w:hAnsi="Arial" w:cs="Arial"/>
          <w:sz w:val="20"/>
          <w:szCs w:val="20"/>
          <w:vertAlign w:val="superscript"/>
          <w:lang w:val="es-MX"/>
        </w:rPr>
        <w:t>, 2003</w:t>
      </w:r>
      <w:r w:rsidRPr="00B24164">
        <w:rPr>
          <w:rFonts w:ascii="Arial" w:hAnsi="Arial" w:cs="Arial"/>
          <w:sz w:val="20"/>
          <w:szCs w:val="20"/>
          <w:lang w:val="es-MX"/>
        </w:rPr>
        <w:t>.</w:t>
      </w:r>
    </w:p>
    <w:p w:rsidR="0040410E" w:rsidRPr="00B24164" w:rsidRDefault="00B24164" w:rsidP="00CC3695">
      <w:pPr>
        <w:jc w:val="both"/>
        <w:rPr>
          <w:rFonts w:ascii="Arial" w:hAnsi="Arial" w:cs="Arial"/>
          <w:sz w:val="20"/>
          <w:szCs w:val="20"/>
          <w:lang w:val="es-MX"/>
        </w:rPr>
      </w:pPr>
      <w:r w:rsidRPr="00B24164">
        <w:rPr>
          <w:rFonts w:ascii="Arial" w:hAnsi="Arial" w:cs="Arial"/>
          <w:noProof/>
          <w:sz w:val="20"/>
          <w:szCs w:val="20"/>
          <w:lang w:val="es-MX" w:eastAsia="es-MX"/>
        </w:rPr>
        <w:drawing>
          <wp:anchor distT="0" distB="0" distL="114300" distR="114300" simplePos="0" relativeHeight="251648000" behindDoc="0" locked="0" layoutInCell="1" allowOverlap="1" wp14:anchorId="7CF1C50F" wp14:editId="6221C3B0">
            <wp:simplePos x="0" y="0"/>
            <wp:positionH relativeFrom="column">
              <wp:posOffset>377190</wp:posOffset>
            </wp:positionH>
            <wp:positionV relativeFrom="paragraph">
              <wp:posOffset>1821180</wp:posOffset>
            </wp:positionV>
            <wp:extent cx="4857750" cy="3479165"/>
            <wp:effectExtent l="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574"/>
                    <a:stretch>
                      <a:fillRect/>
                    </a:stretch>
                  </pic:blipFill>
                  <pic:spPr bwMode="auto">
                    <a:xfrm>
                      <a:off x="0" y="0"/>
                      <a:ext cx="4857750" cy="3479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2B82" w:rsidRPr="00B24164">
        <w:rPr>
          <w:rFonts w:ascii="Arial" w:hAnsi="Arial" w:cs="Arial"/>
          <w:sz w:val="20"/>
          <w:szCs w:val="20"/>
          <w:lang w:val="es-MX"/>
        </w:rPr>
        <w:t>El m</w:t>
      </w:r>
      <w:r w:rsidR="00CC3695" w:rsidRPr="00B24164">
        <w:rPr>
          <w:rFonts w:ascii="Arial" w:hAnsi="Arial" w:cs="Arial"/>
          <w:sz w:val="20"/>
          <w:szCs w:val="20"/>
          <w:lang w:val="es-MX"/>
        </w:rPr>
        <w:t xml:space="preserve">ecanismo de acción de los </w:t>
      </w:r>
      <w:proofErr w:type="spellStart"/>
      <w:r w:rsidR="00CC3695" w:rsidRPr="00B24164">
        <w:rPr>
          <w:rFonts w:ascii="Arial" w:hAnsi="Arial" w:cs="Arial"/>
          <w:sz w:val="20"/>
          <w:szCs w:val="20"/>
          <w:lang w:val="es-MX"/>
        </w:rPr>
        <w:t>corticosteroides</w:t>
      </w:r>
      <w:proofErr w:type="spellEnd"/>
      <w:r w:rsidR="00CC3695" w:rsidRPr="00B24164">
        <w:rPr>
          <w:rFonts w:ascii="Arial" w:hAnsi="Arial" w:cs="Arial"/>
          <w:sz w:val="20"/>
          <w:szCs w:val="20"/>
          <w:lang w:val="es-MX"/>
        </w:rPr>
        <w:t xml:space="preserve"> tópicos</w:t>
      </w:r>
      <w:r w:rsidR="00C92B82" w:rsidRPr="00B24164">
        <w:rPr>
          <w:rFonts w:ascii="Arial" w:hAnsi="Arial" w:cs="Arial"/>
          <w:sz w:val="20"/>
          <w:szCs w:val="20"/>
          <w:lang w:val="es-MX"/>
        </w:rPr>
        <w:t xml:space="preserve"> es diverso debido a  que </w:t>
      </w:r>
      <w:r w:rsidR="004A686C" w:rsidRPr="00B24164">
        <w:rPr>
          <w:rFonts w:ascii="Arial" w:hAnsi="Arial" w:cs="Arial"/>
          <w:sz w:val="20"/>
          <w:szCs w:val="20"/>
          <w:lang w:val="es-MX"/>
        </w:rPr>
        <w:t xml:space="preserve">los </w:t>
      </w:r>
      <w:r w:rsidR="00CC3695" w:rsidRPr="00B24164">
        <w:rPr>
          <w:rFonts w:ascii="Arial" w:hAnsi="Arial" w:cs="Arial"/>
          <w:sz w:val="20"/>
          <w:szCs w:val="20"/>
          <w:lang w:val="es-MX"/>
        </w:rPr>
        <w:t>esteroides son moléculas poco hidrofóbicas capaces de atravesar las membranas por difusión simple o a través de receptores específicos</w:t>
      </w:r>
      <w:r w:rsidR="004A686C" w:rsidRPr="00B24164">
        <w:rPr>
          <w:rFonts w:ascii="Arial" w:hAnsi="Arial" w:cs="Arial"/>
          <w:sz w:val="20"/>
          <w:szCs w:val="20"/>
          <w:lang w:val="es-MX"/>
        </w:rPr>
        <w:t>. E</w:t>
      </w:r>
      <w:r w:rsidR="00CC3695" w:rsidRPr="00B24164">
        <w:rPr>
          <w:rFonts w:ascii="Arial" w:hAnsi="Arial" w:cs="Arial"/>
          <w:sz w:val="20"/>
          <w:szCs w:val="20"/>
          <w:lang w:val="es-MX"/>
        </w:rPr>
        <w:t xml:space="preserve">l mecanismo molecular involucrado descrito en la acción antiinflamatoria es la </w:t>
      </w:r>
      <w:proofErr w:type="spellStart"/>
      <w:r w:rsidR="00CC3695" w:rsidRPr="00B24164">
        <w:rPr>
          <w:rFonts w:ascii="Arial" w:hAnsi="Arial" w:cs="Arial"/>
          <w:sz w:val="20"/>
          <w:szCs w:val="20"/>
          <w:lang w:val="es-MX"/>
        </w:rPr>
        <w:t>traslocación</w:t>
      </w:r>
      <w:proofErr w:type="spellEnd"/>
      <w:r w:rsidR="00CC3695" w:rsidRPr="00B24164">
        <w:rPr>
          <w:rFonts w:ascii="Arial" w:hAnsi="Arial" w:cs="Arial"/>
          <w:sz w:val="20"/>
          <w:szCs w:val="20"/>
          <w:lang w:val="es-MX"/>
        </w:rPr>
        <w:t xml:space="preserve"> </w:t>
      </w:r>
      <w:r w:rsidR="004A686C" w:rsidRPr="00B24164">
        <w:rPr>
          <w:rFonts w:ascii="Arial" w:hAnsi="Arial" w:cs="Arial"/>
          <w:sz w:val="20"/>
          <w:szCs w:val="20"/>
          <w:lang w:val="es-MX"/>
        </w:rPr>
        <w:t xml:space="preserve">de dímeros </w:t>
      </w:r>
      <w:r w:rsidR="00CC3695" w:rsidRPr="00B24164">
        <w:rPr>
          <w:rFonts w:ascii="Arial" w:hAnsi="Arial" w:cs="Arial"/>
          <w:sz w:val="20"/>
          <w:szCs w:val="20"/>
          <w:lang w:val="es-MX"/>
        </w:rPr>
        <w:t>hacia núcleo (receptor-esteroide) y la unión de este al ADN y el subsecuente incremento de la transcripción de genes que codifican proteínas antiinflamatorias o bien la  inhibición de la producción de proteínas inflamatorias</w:t>
      </w:r>
      <w:r w:rsidR="004A686C" w:rsidRPr="00B24164">
        <w:rPr>
          <w:rFonts w:ascii="Arial" w:hAnsi="Arial" w:cs="Arial"/>
          <w:sz w:val="20"/>
          <w:szCs w:val="20"/>
          <w:lang w:val="es-MX"/>
        </w:rPr>
        <w:t>.</w:t>
      </w:r>
      <w:r w:rsidR="00CC3695" w:rsidRPr="00B24164">
        <w:rPr>
          <w:rFonts w:ascii="Arial" w:hAnsi="Arial" w:cs="Arial"/>
          <w:sz w:val="20"/>
          <w:szCs w:val="20"/>
          <w:lang w:val="es-MX"/>
        </w:rPr>
        <w:t xml:space="preserve"> </w:t>
      </w:r>
      <w:r w:rsidR="004A686C" w:rsidRPr="00B24164">
        <w:rPr>
          <w:rFonts w:ascii="Arial" w:hAnsi="Arial" w:cs="Arial"/>
          <w:sz w:val="20"/>
          <w:szCs w:val="20"/>
          <w:lang w:val="es-MX"/>
        </w:rPr>
        <w:t>O</w:t>
      </w:r>
      <w:r w:rsidR="00CC3695" w:rsidRPr="00B24164">
        <w:rPr>
          <w:rFonts w:ascii="Arial" w:hAnsi="Arial" w:cs="Arial"/>
          <w:sz w:val="20"/>
          <w:szCs w:val="20"/>
          <w:lang w:val="es-MX"/>
        </w:rPr>
        <w:t xml:space="preserve">tro mecanismo es a nivel de membranas celulares mediante la inhibición de la </w:t>
      </w:r>
      <w:proofErr w:type="spellStart"/>
      <w:r w:rsidR="00CC3695" w:rsidRPr="00B24164">
        <w:rPr>
          <w:rFonts w:ascii="Arial" w:hAnsi="Arial" w:cs="Arial"/>
          <w:sz w:val="20"/>
          <w:szCs w:val="20"/>
          <w:lang w:val="es-MX"/>
        </w:rPr>
        <w:t>fosfolipasa</w:t>
      </w:r>
      <w:proofErr w:type="spellEnd"/>
      <w:r w:rsidR="00CC3695" w:rsidRPr="00B24164">
        <w:rPr>
          <w:rFonts w:ascii="Arial" w:hAnsi="Arial" w:cs="Arial"/>
          <w:sz w:val="20"/>
          <w:szCs w:val="20"/>
          <w:lang w:val="es-MX"/>
        </w:rPr>
        <w:t xml:space="preserve"> A2 mediante la acción de la </w:t>
      </w:r>
      <w:proofErr w:type="spellStart"/>
      <w:r w:rsidR="00CC3695" w:rsidRPr="00B24164">
        <w:rPr>
          <w:rFonts w:ascii="Arial" w:hAnsi="Arial" w:cs="Arial"/>
          <w:sz w:val="20"/>
          <w:szCs w:val="20"/>
          <w:lang w:val="es-MX"/>
        </w:rPr>
        <w:t>lipocortina</w:t>
      </w:r>
      <w:proofErr w:type="spellEnd"/>
      <w:r w:rsidR="00CC3695" w:rsidRPr="00B24164">
        <w:rPr>
          <w:rFonts w:ascii="Arial" w:hAnsi="Arial" w:cs="Arial"/>
          <w:sz w:val="20"/>
          <w:szCs w:val="20"/>
          <w:lang w:val="es-MX"/>
        </w:rPr>
        <w:t xml:space="preserve"> y el subsecuente bloqueo en la liberación del ácido</w:t>
      </w:r>
      <w:r w:rsidR="00CF344F" w:rsidRPr="00B24164">
        <w:rPr>
          <w:rFonts w:ascii="Arial" w:hAnsi="Arial" w:cs="Arial"/>
          <w:sz w:val="20"/>
          <w:szCs w:val="20"/>
          <w:lang w:val="es-MX"/>
        </w:rPr>
        <w:t xml:space="preserve"> </w:t>
      </w:r>
      <w:proofErr w:type="spellStart"/>
      <w:r w:rsidR="00CC3695" w:rsidRPr="00B24164">
        <w:rPr>
          <w:rFonts w:ascii="Arial" w:hAnsi="Arial" w:cs="Arial"/>
          <w:sz w:val="20"/>
          <w:szCs w:val="20"/>
          <w:lang w:val="es-MX"/>
        </w:rPr>
        <w:t>araquidonicode</w:t>
      </w:r>
      <w:proofErr w:type="spellEnd"/>
      <w:r w:rsidR="00CC3695" w:rsidRPr="00B24164">
        <w:rPr>
          <w:rFonts w:ascii="Arial" w:hAnsi="Arial" w:cs="Arial"/>
          <w:sz w:val="20"/>
          <w:szCs w:val="20"/>
          <w:lang w:val="es-MX"/>
        </w:rPr>
        <w:t xml:space="preserve"> la membrana celular lo que a su vez impide la producción de prostaglandinas, </w:t>
      </w:r>
      <w:proofErr w:type="spellStart"/>
      <w:r w:rsidR="00CC3695" w:rsidRPr="00B24164">
        <w:rPr>
          <w:rFonts w:ascii="Arial" w:hAnsi="Arial" w:cs="Arial"/>
          <w:sz w:val="20"/>
          <w:szCs w:val="20"/>
          <w:lang w:val="es-MX"/>
        </w:rPr>
        <w:t>tromboxanos</w:t>
      </w:r>
      <w:proofErr w:type="spellEnd"/>
      <w:r w:rsidR="00CC3695" w:rsidRPr="00B24164">
        <w:rPr>
          <w:rFonts w:ascii="Arial" w:hAnsi="Arial" w:cs="Arial"/>
          <w:sz w:val="20"/>
          <w:szCs w:val="20"/>
          <w:lang w:val="es-MX"/>
        </w:rPr>
        <w:t xml:space="preserve"> y </w:t>
      </w:r>
      <w:proofErr w:type="spellStart"/>
      <w:r w:rsidR="00CC3695" w:rsidRPr="00B24164">
        <w:rPr>
          <w:rFonts w:ascii="Arial" w:hAnsi="Arial" w:cs="Arial"/>
          <w:sz w:val="20"/>
          <w:szCs w:val="20"/>
          <w:lang w:val="es-MX"/>
        </w:rPr>
        <w:t>leucotrienos</w:t>
      </w:r>
      <w:proofErr w:type="spellEnd"/>
      <w:r w:rsidR="00CC3695" w:rsidRPr="00B24164">
        <w:rPr>
          <w:rFonts w:ascii="Arial" w:hAnsi="Arial" w:cs="Arial"/>
          <w:sz w:val="20"/>
          <w:szCs w:val="20"/>
          <w:lang w:val="es-MX"/>
        </w:rPr>
        <w:t xml:space="preserve">. En relación a la actividad </w:t>
      </w:r>
      <w:r w:rsidR="00CC3695" w:rsidRPr="00B24164">
        <w:rPr>
          <w:rFonts w:ascii="Arial" w:hAnsi="Arial" w:cs="Arial"/>
          <w:sz w:val="20"/>
          <w:szCs w:val="20"/>
          <w:lang w:val="es-MX"/>
        </w:rPr>
        <w:lastRenderedPageBreak/>
        <w:t xml:space="preserve">inmunosupresora los </w:t>
      </w:r>
      <w:proofErr w:type="spellStart"/>
      <w:r w:rsidR="00CC3695" w:rsidRPr="00B24164">
        <w:rPr>
          <w:rFonts w:ascii="Arial" w:hAnsi="Arial" w:cs="Arial"/>
          <w:sz w:val="20"/>
          <w:szCs w:val="20"/>
          <w:lang w:val="es-MX"/>
        </w:rPr>
        <w:t>corticosteroides</w:t>
      </w:r>
      <w:proofErr w:type="spellEnd"/>
      <w:r w:rsidR="00CC3695" w:rsidRPr="00B24164">
        <w:rPr>
          <w:rFonts w:ascii="Arial" w:hAnsi="Arial" w:cs="Arial"/>
          <w:sz w:val="20"/>
          <w:szCs w:val="20"/>
          <w:lang w:val="es-MX"/>
        </w:rPr>
        <w:t>, se ha observado que ocasionan disminución de las células de Langerhans, inhiben los linfocitos T vía inducción de apoptos</w:t>
      </w:r>
      <w:r w:rsidR="004A686C" w:rsidRPr="00B24164">
        <w:rPr>
          <w:rFonts w:ascii="Arial" w:hAnsi="Arial" w:cs="Arial"/>
          <w:sz w:val="20"/>
          <w:szCs w:val="20"/>
          <w:lang w:val="es-MX"/>
        </w:rPr>
        <w:t>is y bloqueo del cicl</w:t>
      </w:r>
      <w:r w:rsidR="00A47FD4" w:rsidRPr="00B24164">
        <w:rPr>
          <w:rFonts w:ascii="Arial" w:hAnsi="Arial" w:cs="Arial"/>
          <w:sz w:val="20"/>
          <w:szCs w:val="20"/>
          <w:lang w:val="es-MX"/>
        </w:rPr>
        <w:t xml:space="preserve">o celular </w:t>
      </w:r>
      <w:proofErr w:type="spellStart"/>
      <w:r w:rsidR="00CC3695" w:rsidRPr="00B24164">
        <w:rPr>
          <w:rFonts w:ascii="Arial" w:hAnsi="Arial" w:cs="Arial"/>
          <w:sz w:val="20"/>
          <w:szCs w:val="20"/>
          <w:vertAlign w:val="superscript"/>
          <w:lang w:val="es-MX"/>
        </w:rPr>
        <w:t>Ballona</w:t>
      </w:r>
      <w:proofErr w:type="spellEnd"/>
      <w:r w:rsidR="00CC3695" w:rsidRPr="00B24164">
        <w:rPr>
          <w:rFonts w:ascii="Arial" w:hAnsi="Arial" w:cs="Arial"/>
          <w:sz w:val="20"/>
          <w:szCs w:val="20"/>
          <w:vertAlign w:val="superscript"/>
          <w:lang w:val="es-MX"/>
        </w:rPr>
        <w:t>, 2003</w:t>
      </w:r>
      <w:r w:rsidR="00CC3695" w:rsidRPr="00B24164">
        <w:rPr>
          <w:rFonts w:ascii="Arial" w:hAnsi="Arial" w:cs="Arial"/>
          <w:sz w:val="20"/>
          <w:szCs w:val="20"/>
          <w:lang w:val="es-MX"/>
        </w:rPr>
        <w:t>.</w:t>
      </w:r>
      <w:r w:rsidR="0040410E" w:rsidRPr="00B24164">
        <w:rPr>
          <w:rFonts w:ascii="Arial" w:hAnsi="Arial" w:cs="Arial"/>
          <w:sz w:val="20"/>
          <w:szCs w:val="20"/>
          <w:lang w:val="es-MX"/>
        </w:rPr>
        <w:t xml:space="preserve"> </w:t>
      </w:r>
    </w:p>
    <w:p w:rsidR="00CC3695" w:rsidRPr="00B24164" w:rsidRDefault="00CC3695" w:rsidP="00CC3695">
      <w:pPr>
        <w:jc w:val="both"/>
        <w:rPr>
          <w:rFonts w:ascii="Arial" w:hAnsi="Arial" w:cs="Arial"/>
          <w:sz w:val="20"/>
          <w:szCs w:val="20"/>
          <w:lang w:val="es-MX"/>
        </w:rPr>
      </w:pPr>
      <w:r w:rsidRPr="00B24164">
        <w:rPr>
          <w:rFonts w:ascii="Arial" w:hAnsi="Arial" w:cs="Arial"/>
          <w:sz w:val="20"/>
          <w:szCs w:val="20"/>
          <w:lang w:val="es-MX"/>
        </w:rPr>
        <w:t xml:space="preserve">Debido a que poco se conoce sobre los efectos genotóxicos y citotóxicos de los </w:t>
      </w:r>
      <w:proofErr w:type="spellStart"/>
      <w:r w:rsidRPr="00B24164">
        <w:rPr>
          <w:rFonts w:ascii="Arial" w:hAnsi="Arial" w:cs="Arial"/>
          <w:sz w:val="20"/>
          <w:szCs w:val="20"/>
          <w:lang w:val="es-MX"/>
        </w:rPr>
        <w:t>corticosteroides</w:t>
      </w:r>
      <w:proofErr w:type="spellEnd"/>
      <w:r w:rsidRPr="00B24164">
        <w:rPr>
          <w:rFonts w:ascii="Arial" w:hAnsi="Arial" w:cs="Arial"/>
          <w:sz w:val="20"/>
          <w:szCs w:val="20"/>
          <w:lang w:val="es-MX"/>
        </w:rPr>
        <w:t xml:space="preserve"> tópicos, el objetivo del presente estudio fue analizar tales efectos mediante la prueba de micronúcleos en sangre periférica de ratones </w:t>
      </w:r>
      <w:proofErr w:type="spellStart"/>
      <w:r w:rsidRPr="00B24164">
        <w:rPr>
          <w:rFonts w:ascii="Arial" w:hAnsi="Arial" w:cs="Arial"/>
          <w:sz w:val="20"/>
          <w:szCs w:val="20"/>
          <w:lang w:val="es-MX"/>
        </w:rPr>
        <w:t>Balb</w:t>
      </w:r>
      <w:proofErr w:type="spellEnd"/>
      <w:r w:rsidRPr="00B24164">
        <w:rPr>
          <w:rFonts w:ascii="Arial" w:hAnsi="Arial" w:cs="Arial"/>
          <w:sz w:val="20"/>
          <w:szCs w:val="20"/>
          <w:lang w:val="es-MX"/>
        </w:rPr>
        <w:t xml:space="preserve">-C con exposición a diferentes </w:t>
      </w:r>
      <w:proofErr w:type="spellStart"/>
      <w:r w:rsidRPr="00B24164">
        <w:rPr>
          <w:rFonts w:ascii="Arial" w:hAnsi="Arial" w:cs="Arial"/>
          <w:sz w:val="20"/>
          <w:szCs w:val="20"/>
          <w:lang w:val="es-MX"/>
        </w:rPr>
        <w:t>corticosteroides</w:t>
      </w:r>
      <w:proofErr w:type="spellEnd"/>
      <w:r w:rsidRPr="00B24164">
        <w:rPr>
          <w:rFonts w:ascii="Arial" w:hAnsi="Arial" w:cs="Arial"/>
          <w:sz w:val="20"/>
          <w:szCs w:val="20"/>
          <w:lang w:val="es-MX"/>
        </w:rPr>
        <w:t xml:space="preserve"> tópicos (Hidrocortisona, Metilprednisolona,  Betametasona y Clobetasol</w:t>
      </w:r>
      <w:r w:rsidR="003F44F1" w:rsidRPr="00B24164">
        <w:rPr>
          <w:rFonts w:ascii="Arial" w:hAnsi="Arial" w:cs="Arial"/>
          <w:sz w:val="20"/>
          <w:szCs w:val="20"/>
          <w:lang w:val="es-MX"/>
        </w:rPr>
        <w:t>, Cuadro 1</w:t>
      </w:r>
      <w:r w:rsidRPr="00B24164">
        <w:rPr>
          <w:rFonts w:ascii="Arial" w:hAnsi="Arial" w:cs="Arial"/>
          <w:sz w:val="20"/>
          <w:szCs w:val="20"/>
          <w:lang w:val="es-MX"/>
        </w:rPr>
        <w:t xml:space="preserve">). </w:t>
      </w:r>
    </w:p>
    <w:p w:rsidR="004D5003" w:rsidRPr="00B24164" w:rsidRDefault="004D5003" w:rsidP="00CC3695">
      <w:pPr>
        <w:jc w:val="both"/>
        <w:rPr>
          <w:rFonts w:ascii="Arial" w:hAnsi="Arial" w:cs="Arial"/>
          <w:sz w:val="20"/>
          <w:szCs w:val="20"/>
          <w:lang w:val="es-MX"/>
        </w:rPr>
      </w:pPr>
    </w:p>
    <w:p w:rsidR="00CC3695" w:rsidRPr="00B24164" w:rsidRDefault="00CC3695" w:rsidP="00CC3695">
      <w:pPr>
        <w:jc w:val="both"/>
        <w:rPr>
          <w:rFonts w:ascii="Arial" w:hAnsi="Arial" w:cs="Arial"/>
          <w:b/>
          <w:sz w:val="20"/>
          <w:szCs w:val="20"/>
          <w:lang w:val="es-MX"/>
        </w:rPr>
      </w:pPr>
      <w:r w:rsidRPr="00B24164">
        <w:rPr>
          <w:rFonts w:ascii="Arial" w:hAnsi="Arial" w:cs="Arial"/>
          <w:b/>
          <w:sz w:val="20"/>
          <w:szCs w:val="20"/>
          <w:lang w:val="es-MX"/>
        </w:rPr>
        <w:t>MATERIAL Y MÉTODO</w:t>
      </w:r>
    </w:p>
    <w:p w:rsidR="001E2699" w:rsidRPr="00B24164" w:rsidRDefault="00CC3695" w:rsidP="00CC3695">
      <w:pPr>
        <w:pStyle w:val="Sinespaciado"/>
        <w:jc w:val="both"/>
        <w:rPr>
          <w:rFonts w:ascii="Arial" w:hAnsi="Arial" w:cs="Arial"/>
          <w:sz w:val="20"/>
          <w:szCs w:val="20"/>
        </w:rPr>
      </w:pPr>
      <w:r w:rsidRPr="00B24164">
        <w:rPr>
          <w:rFonts w:ascii="Arial" w:hAnsi="Arial" w:cs="Arial"/>
          <w:b/>
          <w:sz w:val="20"/>
          <w:szCs w:val="20"/>
        </w:rPr>
        <w:t>Animales</w:t>
      </w:r>
      <w:r w:rsidRPr="00B24164">
        <w:rPr>
          <w:rFonts w:ascii="Arial" w:hAnsi="Arial" w:cs="Arial"/>
          <w:sz w:val="20"/>
          <w:szCs w:val="20"/>
        </w:rPr>
        <w:t xml:space="preserve">: Se trabajó con 78 ratones machos sanos de la cepa </w:t>
      </w:r>
      <w:proofErr w:type="spellStart"/>
      <w:r w:rsidRPr="00B24164">
        <w:rPr>
          <w:rFonts w:ascii="Arial" w:hAnsi="Arial" w:cs="Arial"/>
          <w:sz w:val="20"/>
          <w:szCs w:val="20"/>
        </w:rPr>
        <w:t>Balb</w:t>
      </w:r>
      <w:proofErr w:type="spellEnd"/>
      <w:r w:rsidRPr="00B24164">
        <w:rPr>
          <w:rFonts w:ascii="Arial" w:hAnsi="Arial" w:cs="Arial"/>
          <w:sz w:val="20"/>
          <w:szCs w:val="20"/>
        </w:rPr>
        <w:t>-C de 5 a 6 semanas de edad, peso promedio 14.9 ± 2.4 g, los anim</w:t>
      </w:r>
      <w:r w:rsidR="00E27E68" w:rsidRPr="00B24164">
        <w:rPr>
          <w:rFonts w:ascii="Arial" w:hAnsi="Arial" w:cs="Arial"/>
          <w:sz w:val="20"/>
          <w:szCs w:val="20"/>
        </w:rPr>
        <w:t xml:space="preserve">ales fueron proporcionados por </w:t>
      </w:r>
      <w:r w:rsidRPr="00B24164">
        <w:rPr>
          <w:rFonts w:ascii="Arial" w:hAnsi="Arial" w:cs="Arial"/>
          <w:sz w:val="20"/>
          <w:szCs w:val="20"/>
        </w:rPr>
        <w:t xml:space="preserve">el </w:t>
      </w:r>
      <w:proofErr w:type="spellStart"/>
      <w:r w:rsidRPr="00B24164">
        <w:rPr>
          <w:rFonts w:ascii="Arial" w:hAnsi="Arial" w:cs="Arial"/>
          <w:sz w:val="20"/>
          <w:szCs w:val="20"/>
        </w:rPr>
        <w:t>bioterio</w:t>
      </w:r>
      <w:proofErr w:type="spellEnd"/>
      <w:r w:rsidRPr="00B24164">
        <w:rPr>
          <w:rFonts w:ascii="Arial" w:hAnsi="Arial" w:cs="Arial"/>
          <w:sz w:val="20"/>
          <w:szCs w:val="20"/>
        </w:rPr>
        <w:t xml:space="preserve"> del Centro  de  Investigación  Biomédica  de  Occidente en Guadalajara, Jalisco, México</w:t>
      </w:r>
      <w:r w:rsidR="005E3881" w:rsidRPr="00B24164">
        <w:rPr>
          <w:rFonts w:ascii="Arial" w:hAnsi="Arial" w:cs="Arial"/>
          <w:sz w:val="20"/>
          <w:szCs w:val="20"/>
        </w:rPr>
        <w:t>,</w:t>
      </w:r>
      <w:r w:rsidR="007A0E25" w:rsidRPr="00B24164">
        <w:rPr>
          <w:rFonts w:ascii="Arial" w:hAnsi="Arial" w:cs="Arial"/>
          <w:sz w:val="20"/>
          <w:szCs w:val="20"/>
        </w:rPr>
        <w:t xml:space="preserve"> el manejo de los animales</w:t>
      </w:r>
      <w:r w:rsidR="005E3881" w:rsidRPr="00B24164">
        <w:rPr>
          <w:rFonts w:ascii="Arial" w:hAnsi="Arial" w:cs="Arial"/>
          <w:sz w:val="20"/>
          <w:szCs w:val="20"/>
        </w:rPr>
        <w:t xml:space="preserve"> </w:t>
      </w:r>
      <w:r w:rsidR="007A0E25" w:rsidRPr="00B24164">
        <w:rPr>
          <w:rFonts w:ascii="Arial" w:hAnsi="Arial" w:cs="Arial"/>
          <w:sz w:val="20"/>
          <w:szCs w:val="20"/>
        </w:rPr>
        <w:t xml:space="preserve"> fue acorde a</w:t>
      </w:r>
      <w:r w:rsidR="005E3881" w:rsidRPr="00B24164">
        <w:rPr>
          <w:rFonts w:ascii="Arial" w:hAnsi="Arial" w:cs="Arial"/>
          <w:color w:val="FF0000"/>
          <w:sz w:val="20"/>
          <w:szCs w:val="20"/>
        </w:rPr>
        <w:t xml:space="preserve"> </w:t>
      </w:r>
      <w:r w:rsidR="005E3881" w:rsidRPr="00B24164">
        <w:rPr>
          <w:rFonts w:ascii="Arial" w:hAnsi="Arial" w:cs="Arial"/>
          <w:sz w:val="20"/>
          <w:szCs w:val="20"/>
        </w:rPr>
        <w:t xml:space="preserve">los criterios </w:t>
      </w:r>
      <w:r w:rsidR="00DF68B1" w:rsidRPr="00B24164">
        <w:rPr>
          <w:rFonts w:ascii="Arial" w:hAnsi="Arial" w:cs="Arial"/>
          <w:sz w:val="20"/>
          <w:szCs w:val="20"/>
        </w:rPr>
        <w:t>éticos</w:t>
      </w:r>
      <w:r w:rsidR="005E3881" w:rsidRPr="00B24164">
        <w:rPr>
          <w:rFonts w:ascii="Arial" w:hAnsi="Arial" w:cs="Arial"/>
          <w:sz w:val="20"/>
          <w:szCs w:val="20"/>
        </w:rPr>
        <w:t xml:space="preserve"> </w:t>
      </w:r>
      <w:r w:rsidR="00DF68B1" w:rsidRPr="00B24164">
        <w:rPr>
          <w:rFonts w:ascii="Arial" w:hAnsi="Arial" w:cs="Arial"/>
          <w:sz w:val="20"/>
          <w:szCs w:val="20"/>
        </w:rPr>
        <w:t>establecidos</w:t>
      </w:r>
      <w:r w:rsidR="005E3881" w:rsidRPr="00B24164">
        <w:rPr>
          <w:rFonts w:ascii="Arial" w:hAnsi="Arial" w:cs="Arial"/>
          <w:sz w:val="20"/>
          <w:szCs w:val="20"/>
        </w:rPr>
        <w:t xml:space="preserve"> por </w:t>
      </w:r>
      <w:r w:rsidR="003A0642" w:rsidRPr="00B24164">
        <w:rPr>
          <w:rFonts w:ascii="Arial" w:hAnsi="Arial" w:cs="Arial"/>
          <w:sz w:val="20"/>
          <w:szCs w:val="20"/>
        </w:rPr>
        <w:t xml:space="preserve">los </w:t>
      </w:r>
      <w:r w:rsidR="00B14DEE" w:rsidRPr="00B24164">
        <w:rPr>
          <w:rFonts w:ascii="Arial" w:hAnsi="Arial" w:cs="Arial"/>
          <w:sz w:val="20"/>
          <w:szCs w:val="20"/>
        </w:rPr>
        <w:t>artículos</w:t>
      </w:r>
      <w:r w:rsidR="003A0642" w:rsidRPr="00B24164">
        <w:rPr>
          <w:rFonts w:ascii="Arial" w:hAnsi="Arial" w:cs="Arial"/>
          <w:sz w:val="20"/>
          <w:szCs w:val="20"/>
        </w:rPr>
        <w:t xml:space="preserve"> del 121 al 126 del </w:t>
      </w:r>
      <w:r w:rsidR="00296A49" w:rsidRPr="00B24164">
        <w:rPr>
          <w:rFonts w:ascii="Arial" w:hAnsi="Arial" w:cs="Arial"/>
          <w:sz w:val="20"/>
          <w:szCs w:val="20"/>
        </w:rPr>
        <w:t xml:space="preserve">Reglamento </w:t>
      </w:r>
      <w:r w:rsidR="003A0642" w:rsidRPr="00B24164">
        <w:rPr>
          <w:rFonts w:ascii="Arial" w:hAnsi="Arial" w:cs="Arial"/>
          <w:sz w:val="20"/>
          <w:szCs w:val="20"/>
        </w:rPr>
        <w:t>de la Ley General de Salud en Materia de Investigación para la Salud</w:t>
      </w:r>
      <w:r w:rsidR="007A0E25" w:rsidRPr="00B24164">
        <w:rPr>
          <w:rFonts w:ascii="Arial" w:hAnsi="Arial" w:cs="Arial"/>
          <w:sz w:val="20"/>
          <w:szCs w:val="20"/>
        </w:rPr>
        <w:t>,</w:t>
      </w:r>
      <w:r w:rsidR="001E2699" w:rsidRPr="00B24164">
        <w:rPr>
          <w:rFonts w:ascii="Arial" w:hAnsi="Arial" w:cs="Arial"/>
          <w:sz w:val="20"/>
          <w:szCs w:val="20"/>
        </w:rPr>
        <w:t xml:space="preserve"> </w:t>
      </w:r>
      <w:r w:rsidR="000E11FF" w:rsidRPr="00B24164">
        <w:rPr>
          <w:rFonts w:ascii="Arial" w:hAnsi="Arial" w:cs="Arial"/>
          <w:sz w:val="20"/>
          <w:szCs w:val="20"/>
        </w:rPr>
        <w:t>el proyecto fue registrado en la Universidad Autónoma de Guadalajara con el no.</w:t>
      </w:r>
      <w:r w:rsidR="001E2699" w:rsidRPr="00B24164">
        <w:rPr>
          <w:rFonts w:ascii="Arial" w:hAnsi="Arial" w:cs="Arial"/>
          <w:sz w:val="20"/>
          <w:szCs w:val="20"/>
        </w:rPr>
        <w:t xml:space="preserve"> 5-031-080-01-010.</w:t>
      </w:r>
      <w:r w:rsidR="0040349A" w:rsidRPr="00B24164">
        <w:rPr>
          <w:rFonts w:ascii="Arial" w:hAnsi="Arial" w:cs="Arial"/>
          <w:sz w:val="20"/>
          <w:szCs w:val="20"/>
        </w:rPr>
        <w:t xml:space="preserve"> </w:t>
      </w:r>
      <w:r w:rsidRPr="00B24164">
        <w:rPr>
          <w:rFonts w:ascii="Arial" w:hAnsi="Arial" w:cs="Arial"/>
          <w:b/>
          <w:sz w:val="20"/>
          <w:szCs w:val="20"/>
        </w:rPr>
        <w:t>Grupos de trabajo</w:t>
      </w:r>
      <w:r w:rsidRPr="00B24164">
        <w:rPr>
          <w:rFonts w:ascii="Arial" w:hAnsi="Arial" w:cs="Arial"/>
          <w:sz w:val="20"/>
          <w:szCs w:val="20"/>
        </w:rPr>
        <w:t>: Los ratones fueron asignados al azar a uno de 13 grupos y cada grupo se conformó con 6 ratones</w:t>
      </w:r>
      <w:r w:rsidR="00094209" w:rsidRPr="00B24164">
        <w:rPr>
          <w:rFonts w:ascii="Arial" w:hAnsi="Arial" w:cs="Arial"/>
          <w:sz w:val="20"/>
          <w:szCs w:val="20"/>
        </w:rPr>
        <w:t xml:space="preserve">, cada organismo se </w:t>
      </w:r>
      <w:r w:rsidR="00331F54" w:rsidRPr="00B24164">
        <w:rPr>
          <w:rFonts w:ascii="Arial" w:hAnsi="Arial" w:cs="Arial"/>
          <w:sz w:val="20"/>
          <w:szCs w:val="20"/>
        </w:rPr>
        <w:t>colocó</w:t>
      </w:r>
      <w:r w:rsidR="00094209" w:rsidRPr="00B24164">
        <w:rPr>
          <w:rFonts w:ascii="Arial" w:hAnsi="Arial" w:cs="Arial"/>
          <w:sz w:val="20"/>
          <w:szCs w:val="20"/>
        </w:rPr>
        <w:t xml:space="preserve"> individualmente en una jaula de policarbonato</w:t>
      </w:r>
      <w:r w:rsidRPr="00B24164">
        <w:rPr>
          <w:rFonts w:ascii="Arial" w:hAnsi="Arial" w:cs="Arial"/>
          <w:sz w:val="20"/>
          <w:szCs w:val="20"/>
        </w:rPr>
        <w:t xml:space="preserve">: Grupo 1) se le administró </w:t>
      </w:r>
      <w:r w:rsidR="00331F54" w:rsidRPr="00B24164">
        <w:rPr>
          <w:rFonts w:ascii="Arial" w:hAnsi="Arial" w:cs="Arial"/>
          <w:sz w:val="20"/>
          <w:szCs w:val="20"/>
        </w:rPr>
        <w:t>Petrolato</w:t>
      </w:r>
      <w:r w:rsidR="00F23174" w:rsidRPr="00B24164">
        <w:rPr>
          <w:rFonts w:ascii="Arial" w:hAnsi="Arial" w:cs="Arial"/>
          <w:sz w:val="20"/>
          <w:szCs w:val="20"/>
        </w:rPr>
        <w:t xml:space="preserve"> </w:t>
      </w:r>
      <w:r w:rsidRPr="00B24164">
        <w:rPr>
          <w:rFonts w:ascii="Arial" w:hAnsi="Arial" w:cs="Arial"/>
          <w:sz w:val="20"/>
          <w:szCs w:val="20"/>
        </w:rPr>
        <w:t>300 mg [control negativo], a los grupos del 2-13) se les aplicó tres dosis de crema 300, 150 y 75 mg; grupos 2-4) Hidrocortisona 1%, grupos 5-7) Betametasona, 8-10) Metilprednisolona y grupos 11-13) Clobetasol. Se rasuro 2cm</w:t>
      </w:r>
      <w:r w:rsidRPr="00B24164">
        <w:rPr>
          <w:rFonts w:ascii="Arial" w:hAnsi="Arial" w:cs="Arial"/>
          <w:sz w:val="20"/>
          <w:szCs w:val="20"/>
          <w:vertAlign w:val="superscript"/>
        </w:rPr>
        <w:t>2</w:t>
      </w:r>
      <w:r w:rsidR="00BB7549" w:rsidRPr="00B24164">
        <w:rPr>
          <w:rFonts w:ascii="Arial" w:hAnsi="Arial" w:cs="Arial"/>
          <w:sz w:val="20"/>
          <w:szCs w:val="20"/>
          <w:vertAlign w:val="superscript"/>
        </w:rPr>
        <w:t xml:space="preserve"> </w:t>
      </w:r>
      <w:r w:rsidRPr="00B24164">
        <w:rPr>
          <w:rFonts w:ascii="Arial" w:hAnsi="Arial" w:cs="Arial"/>
          <w:sz w:val="20"/>
          <w:szCs w:val="20"/>
        </w:rPr>
        <w:t xml:space="preserve">de la espalda de cada ratón, se administró el compuesto cada 24h por 5 días. </w:t>
      </w:r>
      <w:r w:rsidR="00984011" w:rsidRPr="00B24164">
        <w:rPr>
          <w:rFonts w:ascii="Arial" w:hAnsi="Arial" w:cs="Arial"/>
          <w:b/>
          <w:sz w:val="20"/>
          <w:szCs w:val="20"/>
        </w:rPr>
        <w:t>T</w:t>
      </w:r>
      <w:r w:rsidRPr="00B24164">
        <w:rPr>
          <w:rFonts w:ascii="Arial" w:hAnsi="Arial" w:cs="Arial"/>
          <w:b/>
          <w:sz w:val="20"/>
          <w:szCs w:val="20"/>
        </w:rPr>
        <w:t>oma y procesamiento de muestras</w:t>
      </w:r>
      <w:r w:rsidRPr="00B24164">
        <w:rPr>
          <w:rFonts w:ascii="Arial" w:hAnsi="Arial" w:cs="Arial"/>
          <w:sz w:val="20"/>
          <w:szCs w:val="20"/>
        </w:rPr>
        <w:t>: Se tomó una gota de sangre de la punta de la cola por 9 días con la que se realizó un frotis, (702 muestras en total), los frotis se fijaron en e</w:t>
      </w:r>
      <w:r w:rsidR="00BB7549" w:rsidRPr="00B24164">
        <w:rPr>
          <w:rFonts w:ascii="Arial" w:hAnsi="Arial" w:cs="Arial"/>
          <w:sz w:val="20"/>
          <w:szCs w:val="20"/>
        </w:rPr>
        <w:t xml:space="preserve">tanol al 80% por 10 minutos, </w:t>
      </w:r>
      <w:r w:rsidRPr="00B24164">
        <w:rPr>
          <w:rFonts w:ascii="Arial" w:hAnsi="Arial" w:cs="Arial"/>
          <w:sz w:val="20"/>
          <w:szCs w:val="20"/>
        </w:rPr>
        <w:t xml:space="preserve">se tiñeron con naranja de acridina y se analizaron al microscopio equipado con florescencia y bajo el objetivo de inmersión. Por muestra se contabilizaron eritrocitos </w:t>
      </w:r>
      <w:proofErr w:type="spellStart"/>
      <w:r w:rsidRPr="00B24164">
        <w:rPr>
          <w:rFonts w:ascii="Arial" w:hAnsi="Arial" w:cs="Arial"/>
          <w:sz w:val="20"/>
          <w:szCs w:val="20"/>
        </w:rPr>
        <w:t>micronucleados</w:t>
      </w:r>
      <w:proofErr w:type="spellEnd"/>
      <w:r w:rsidRPr="00B24164">
        <w:rPr>
          <w:rFonts w:ascii="Arial" w:hAnsi="Arial" w:cs="Arial"/>
          <w:sz w:val="20"/>
          <w:szCs w:val="20"/>
        </w:rPr>
        <w:t xml:space="preserve"> (EMN)/10,000 eritrocitos, eritrocitos policromáticos (EPC) y EPC </w:t>
      </w:r>
      <w:proofErr w:type="spellStart"/>
      <w:r w:rsidRPr="00B24164">
        <w:rPr>
          <w:rFonts w:ascii="Arial" w:hAnsi="Arial" w:cs="Arial"/>
          <w:sz w:val="20"/>
          <w:szCs w:val="20"/>
        </w:rPr>
        <w:t>micronucleados</w:t>
      </w:r>
      <w:proofErr w:type="spellEnd"/>
      <w:r w:rsidRPr="00B24164">
        <w:rPr>
          <w:rFonts w:ascii="Arial" w:hAnsi="Arial" w:cs="Arial"/>
          <w:sz w:val="20"/>
          <w:szCs w:val="20"/>
        </w:rPr>
        <w:t xml:space="preserve"> en 1000 células, todos estos procedimientos se llevaron acaba de acuerdo a los </w:t>
      </w:r>
      <w:r w:rsidR="007D647C" w:rsidRPr="00B24164">
        <w:rPr>
          <w:rFonts w:ascii="Arial" w:hAnsi="Arial" w:cs="Arial"/>
          <w:sz w:val="20"/>
          <w:szCs w:val="20"/>
        </w:rPr>
        <w:t xml:space="preserve">establecido por Zúñiga </w:t>
      </w:r>
      <w:r w:rsidRPr="00B24164">
        <w:rPr>
          <w:rFonts w:ascii="Arial" w:hAnsi="Arial" w:cs="Arial"/>
          <w:sz w:val="20"/>
          <w:szCs w:val="20"/>
          <w:vertAlign w:val="superscript"/>
        </w:rPr>
        <w:t>2003</w:t>
      </w:r>
      <w:r w:rsidRPr="00B24164">
        <w:rPr>
          <w:rFonts w:ascii="Arial" w:hAnsi="Arial" w:cs="Arial"/>
          <w:sz w:val="20"/>
          <w:szCs w:val="20"/>
        </w:rPr>
        <w:t>.</w:t>
      </w:r>
      <w:r w:rsidR="00B75C99" w:rsidRPr="00B24164">
        <w:rPr>
          <w:rFonts w:ascii="Arial" w:hAnsi="Arial" w:cs="Arial"/>
          <w:sz w:val="20"/>
          <w:szCs w:val="20"/>
        </w:rPr>
        <w:t xml:space="preserve"> </w:t>
      </w:r>
      <w:r w:rsidRPr="00B24164">
        <w:rPr>
          <w:rFonts w:ascii="Arial" w:hAnsi="Arial" w:cs="Arial"/>
          <w:b/>
          <w:sz w:val="20"/>
          <w:szCs w:val="20"/>
        </w:rPr>
        <w:t>Análisis estadístico</w:t>
      </w:r>
      <w:r w:rsidRPr="00B24164">
        <w:rPr>
          <w:rFonts w:ascii="Arial" w:hAnsi="Arial" w:cs="Arial"/>
          <w:sz w:val="20"/>
          <w:szCs w:val="20"/>
        </w:rPr>
        <w:t xml:space="preserve">: Para la estadística descriptiva se utilizó promedio y desviación estándar (DS) para la estadística inferencial sobre la variación en las medias se utilizó la prueba de ANOVA de una vía, como alternativa no paramétrica la prueba de </w:t>
      </w:r>
      <w:proofErr w:type="spellStart"/>
      <w:r w:rsidRPr="00B24164">
        <w:rPr>
          <w:rFonts w:ascii="Arial" w:hAnsi="Arial" w:cs="Arial"/>
          <w:sz w:val="20"/>
          <w:szCs w:val="20"/>
        </w:rPr>
        <w:t>Kruskal</w:t>
      </w:r>
      <w:proofErr w:type="spellEnd"/>
      <w:r w:rsidRPr="00B24164">
        <w:rPr>
          <w:rFonts w:ascii="Arial" w:hAnsi="Arial" w:cs="Arial"/>
          <w:sz w:val="20"/>
          <w:szCs w:val="20"/>
        </w:rPr>
        <w:t xml:space="preserve"> Wallis y para el análisis en bloques respecto al tiempo de tratamiento la prueba de ANOVA de dos vías con la realización </w:t>
      </w:r>
      <w:r w:rsidR="00331F54">
        <w:rPr>
          <w:rFonts w:ascii="Arial" w:hAnsi="Arial" w:cs="Arial"/>
          <w:sz w:val="20"/>
          <w:szCs w:val="20"/>
        </w:rPr>
        <w:t>pos-</w:t>
      </w:r>
      <w:r w:rsidR="00B24164" w:rsidRPr="00B24164">
        <w:rPr>
          <w:rFonts w:ascii="Arial" w:hAnsi="Arial" w:cs="Arial"/>
          <w:sz w:val="20"/>
          <w:szCs w:val="20"/>
        </w:rPr>
        <w:t>prueba</w:t>
      </w:r>
      <w:r w:rsidRPr="00B24164">
        <w:rPr>
          <w:rFonts w:ascii="Arial" w:hAnsi="Arial" w:cs="Arial"/>
          <w:sz w:val="20"/>
          <w:szCs w:val="20"/>
        </w:rPr>
        <w:t xml:space="preserve"> de </w:t>
      </w:r>
      <w:proofErr w:type="spellStart"/>
      <w:r w:rsidRPr="00B24164">
        <w:rPr>
          <w:rFonts w:ascii="Arial" w:hAnsi="Arial" w:cs="Arial"/>
          <w:sz w:val="20"/>
          <w:szCs w:val="20"/>
        </w:rPr>
        <w:t>Bonferroni</w:t>
      </w:r>
      <w:proofErr w:type="spellEnd"/>
      <w:r w:rsidRPr="00B24164">
        <w:rPr>
          <w:rFonts w:ascii="Arial" w:hAnsi="Arial" w:cs="Arial"/>
          <w:sz w:val="20"/>
          <w:szCs w:val="20"/>
        </w:rPr>
        <w:t xml:space="preserve">, mediante </w:t>
      </w:r>
      <w:proofErr w:type="spellStart"/>
      <w:r w:rsidRPr="00B24164">
        <w:rPr>
          <w:rFonts w:ascii="Arial" w:hAnsi="Arial" w:cs="Arial"/>
          <w:sz w:val="20"/>
          <w:szCs w:val="20"/>
        </w:rPr>
        <w:t>GraphPadPrism</w:t>
      </w:r>
      <w:proofErr w:type="spellEnd"/>
      <w:r w:rsidRPr="00B24164">
        <w:rPr>
          <w:rFonts w:ascii="Arial" w:hAnsi="Arial" w:cs="Arial"/>
          <w:sz w:val="20"/>
          <w:szCs w:val="20"/>
        </w:rPr>
        <w:t xml:space="preserve"> Versión 5. </w:t>
      </w:r>
    </w:p>
    <w:p w:rsidR="00777F6B" w:rsidRPr="00B24164" w:rsidRDefault="00777F6B" w:rsidP="00CC3695">
      <w:pPr>
        <w:pStyle w:val="Sinespaciado"/>
        <w:jc w:val="both"/>
        <w:rPr>
          <w:rFonts w:ascii="Arial" w:hAnsi="Arial" w:cs="Arial"/>
          <w:sz w:val="20"/>
          <w:szCs w:val="20"/>
        </w:rPr>
      </w:pPr>
    </w:p>
    <w:p w:rsidR="00CC3695" w:rsidRPr="00B24164" w:rsidRDefault="0040349A" w:rsidP="00CC3695">
      <w:pPr>
        <w:pStyle w:val="Sinespaciado"/>
        <w:jc w:val="both"/>
        <w:rPr>
          <w:rFonts w:ascii="Arial" w:hAnsi="Arial" w:cs="Arial"/>
          <w:b/>
          <w:sz w:val="20"/>
          <w:szCs w:val="20"/>
        </w:rPr>
      </w:pPr>
      <w:r w:rsidRPr="00B24164">
        <w:rPr>
          <w:rFonts w:ascii="Arial" w:hAnsi="Arial" w:cs="Arial"/>
          <w:b/>
          <w:sz w:val="20"/>
          <w:szCs w:val="20"/>
        </w:rPr>
        <w:t>RESULTADOS</w:t>
      </w:r>
    </w:p>
    <w:p w:rsidR="004E5680" w:rsidRPr="00B24164" w:rsidRDefault="004205AE" w:rsidP="00A0295B">
      <w:pPr>
        <w:pStyle w:val="Sinespaciado"/>
        <w:jc w:val="both"/>
        <w:rPr>
          <w:rFonts w:ascii="Arial" w:hAnsi="Arial" w:cs="Arial"/>
          <w:sz w:val="20"/>
          <w:szCs w:val="20"/>
        </w:rPr>
      </w:pPr>
      <w:r w:rsidRPr="00B24164">
        <w:rPr>
          <w:rFonts w:ascii="Arial" w:hAnsi="Arial" w:cs="Arial"/>
          <w:sz w:val="20"/>
          <w:szCs w:val="20"/>
        </w:rPr>
        <w:t xml:space="preserve">Al analizar los </w:t>
      </w:r>
      <w:r w:rsidR="005B7971" w:rsidRPr="00B24164">
        <w:rPr>
          <w:rFonts w:ascii="Arial" w:hAnsi="Arial" w:cs="Arial"/>
          <w:sz w:val="20"/>
          <w:szCs w:val="20"/>
        </w:rPr>
        <w:t xml:space="preserve">datos se </w:t>
      </w:r>
      <w:r w:rsidR="00B24164" w:rsidRPr="00B24164">
        <w:rPr>
          <w:rFonts w:ascii="Arial" w:hAnsi="Arial" w:cs="Arial"/>
          <w:sz w:val="20"/>
          <w:szCs w:val="20"/>
        </w:rPr>
        <w:t>observó</w:t>
      </w:r>
      <w:r w:rsidR="005B7971" w:rsidRPr="00B24164">
        <w:rPr>
          <w:rFonts w:ascii="Arial" w:hAnsi="Arial" w:cs="Arial"/>
          <w:sz w:val="20"/>
          <w:szCs w:val="20"/>
        </w:rPr>
        <w:t xml:space="preserve"> </w:t>
      </w:r>
      <w:r w:rsidR="004526B5" w:rsidRPr="00B24164">
        <w:rPr>
          <w:rFonts w:ascii="Arial" w:hAnsi="Arial" w:cs="Arial"/>
          <w:sz w:val="20"/>
          <w:szCs w:val="20"/>
        </w:rPr>
        <w:t xml:space="preserve">de manera general que </w:t>
      </w:r>
      <w:r w:rsidR="00CC3695" w:rsidRPr="00B24164">
        <w:rPr>
          <w:rFonts w:ascii="Arial" w:hAnsi="Arial" w:cs="Arial"/>
          <w:sz w:val="20"/>
          <w:szCs w:val="20"/>
        </w:rPr>
        <w:t xml:space="preserve">todos los compuesto </w:t>
      </w:r>
      <w:r w:rsidR="004526B5" w:rsidRPr="00B24164">
        <w:rPr>
          <w:rFonts w:ascii="Arial" w:hAnsi="Arial" w:cs="Arial"/>
          <w:sz w:val="20"/>
          <w:szCs w:val="20"/>
        </w:rPr>
        <w:t>inducen la formaci</w:t>
      </w:r>
      <w:r w:rsidR="00F675F1" w:rsidRPr="00B24164">
        <w:rPr>
          <w:rFonts w:ascii="Arial" w:hAnsi="Arial" w:cs="Arial"/>
          <w:sz w:val="20"/>
          <w:szCs w:val="20"/>
        </w:rPr>
        <w:t xml:space="preserve">ón de EMN </w:t>
      </w:r>
      <w:r w:rsidR="004526B5" w:rsidRPr="00B24164">
        <w:rPr>
          <w:rFonts w:ascii="Arial" w:hAnsi="Arial" w:cs="Arial"/>
          <w:sz w:val="20"/>
          <w:szCs w:val="20"/>
        </w:rPr>
        <w:t>dentro de los tres primeros tres días de aplicación</w:t>
      </w:r>
      <w:r w:rsidR="000B581E" w:rsidRPr="00B24164">
        <w:rPr>
          <w:rFonts w:ascii="Arial" w:hAnsi="Arial" w:cs="Arial"/>
          <w:sz w:val="20"/>
          <w:szCs w:val="20"/>
        </w:rPr>
        <w:t xml:space="preserve"> (p&gt;0.01)</w:t>
      </w:r>
      <w:r w:rsidR="008B1989" w:rsidRPr="00B24164">
        <w:rPr>
          <w:rFonts w:ascii="Arial" w:hAnsi="Arial" w:cs="Arial"/>
          <w:sz w:val="20"/>
          <w:szCs w:val="20"/>
        </w:rPr>
        <w:t xml:space="preserve">, sin detectarse efecto genotóxico a las 24 </w:t>
      </w:r>
      <w:r w:rsidR="008B1989" w:rsidRPr="00322585">
        <w:rPr>
          <w:rFonts w:ascii="Arial" w:hAnsi="Arial" w:cs="Arial"/>
          <w:sz w:val="20"/>
          <w:szCs w:val="20"/>
        </w:rPr>
        <w:t>h de aplicación</w:t>
      </w:r>
      <w:r w:rsidR="004526B5" w:rsidRPr="00322585">
        <w:rPr>
          <w:rFonts w:ascii="Arial" w:hAnsi="Arial" w:cs="Arial"/>
          <w:sz w:val="20"/>
          <w:szCs w:val="20"/>
        </w:rPr>
        <w:t xml:space="preserve">, </w:t>
      </w:r>
      <w:r w:rsidR="000B581E" w:rsidRPr="00322585">
        <w:rPr>
          <w:rFonts w:ascii="Arial" w:hAnsi="Arial" w:cs="Arial"/>
          <w:sz w:val="20"/>
          <w:szCs w:val="20"/>
        </w:rPr>
        <w:t xml:space="preserve">para luego producirse </w:t>
      </w:r>
      <w:proofErr w:type="spellStart"/>
      <w:r w:rsidR="000B581E" w:rsidRPr="00322585">
        <w:rPr>
          <w:rFonts w:ascii="Arial" w:hAnsi="Arial" w:cs="Arial"/>
          <w:sz w:val="20"/>
          <w:szCs w:val="20"/>
        </w:rPr>
        <w:t>mielodepreción</w:t>
      </w:r>
      <w:proofErr w:type="spellEnd"/>
      <w:r w:rsidR="007F5904" w:rsidRPr="00322585">
        <w:rPr>
          <w:rFonts w:ascii="Arial" w:hAnsi="Arial" w:cs="Arial"/>
          <w:sz w:val="20"/>
          <w:szCs w:val="20"/>
        </w:rPr>
        <w:t xml:space="preserve"> ya que se disminuye la frecuencia de EPC</w:t>
      </w:r>
      <w:r w:rsidR="003D102E" w:rsidRPr="00322585">
        <w:rPr>
          <w:rFonts w:ascii="Arial" w:hAnsi="Arial" w:cs="Arial"/>
          <w:sz w:val="20"/>
          <w:szCs w:val="20"/>
        </w:rPr>
        <w:t>, la que se asocia a la dosis del compuesto de tal manera que a</w:t>
      </w:r>
      <w:r w:rsidR="00CC3695" w:rsidRPr="00322585">
        <w:rPr>
          <w:rFonts w:ascii="Arial" w:hAnsi="Arial" w:cs="Arial"/>
          <w:sz w:val="20"/>
          <w:szCs w:val="20"/>
        </w:rPr>
        <w:t xml:space="preserve"> </w:t>
      </w:r>
      <w:r w:rsidR="003D102E" w:rsidRPr="00322585">
        <w:rPr>
          <w:rFonts w:ascii="Arial" w:hAnsi="Arial" w:cs="Arial"/>
          <w:sz w:val="20"/>
          <w:szCs w:val="20"/>
        </w:rPr>
        <w:t xml:space="preserve">mayor </w:t>
      </w:r>
      <w:r w:rsidR="00CC3695" w:rsidRPr="00322585">
        <w:rPr>
          <w:rFonts w:ascii="Arial" w:hAnsi="Arial" w:cs="Arial"/>
          <w:sz w:val="20"/>
          <w:szCs w:val="20"/>
        </w:rPr>
        <w:t>dosis</w:t>
      </w:r>
      <w:r w:rsidR="003D102E" w:rsidRPr="00322585">
        <w:rPr>
          <w:rFonts w:ascii="Arial" w:hAnsi="Arial" w:cs="Arial"/>
          <w:sz w:val="20"/>
          <w:szCs w:val="20"/>
        </w:rPr>
        <w:t xml:space="preserve"> mayor</w:t>
      </w:r>
      <w:r w:rsidR="00CC3695" w:rsidRPr="00322585">
        <w:rPr>
          <w:rFonts w:ascii="Arial" w:hAnsi="Arial" w:cs="Arial"/>
          <w:sz w:val="20"/>
          <w:szCs w:val="20"/>
        </w:rPr>
        <w:t xml:space="preserve"> citotoxicidad</w:t>
      </w:r>
      <w:r w:rsidR="00F703E0" w:rsidRPr="00322585">
        <w:rPr>
          <w:rFonts w:ascii="Arial" w:hAnsi="Arial" w:cs="Arial"/>
          <w:sz w:val="20"/>
          <w:szCs w:val="20"/>
        </w:rPr>
        <w:t xml:space="preserve"> (Figura 1)</w:t>
      </w:r>
      <w:r w:rsidR="00CC3695" w:rsidRPr="00322585">
        <w:rPr>
          <w:rFonts w:ascii="Arial" w:hAnsi="Arial" w:cs="Arial"/>
          <w:sz w:val="20"/>
          <w:szCs w:val="20"/>
        </w:rPr>
        <w:t xml:space="preserve">. </w:t>
      </w:r>
      <w:r w:rsidR="005B7971" w:rsidRPr="00322585">
        <w:rPr>
          <w:rFonts w:ascii="Arial" w:hAnsi="Arial" w:cs="Arial"/>
          <w:b/>
          <w:sz w:val="20"/>
          <w:szCs w:val="20"/>
        </w:rPr>
        <w:t>Hidrocortisona</w:t>
      </w:r>
      <w:r w:rsidR="005B7971" w:rsidRPr="00322585">
        <w:rPr>
          <w:rFonts w:ascii="Arial" w:hAnsi="Arial" w:cs="Arial"/>
          <w:sz w:val="20"/>
          <w:szCs w:val="20"/>
        </w:rPr>
        <w:t xml:space="preserve">: </w:t>
      </w:r>
      <w:r w:rsidR="008C5F81" w:rsidRPr="00322585">
        <w:rPr>
          <w:rFonts w:ascii="Arial" w:hAnsi="Arial" w:cs="Arial"/>
          <w:sz w:val="20"/>
          <w:szCs w:val="20"/>
        </w:rPr>
        <w:t>Al analizar el efecto citotóxico de este compuesto evaluado mediante la frecuencia de EPC se pudo</w:t>
      </w:r>
      <w:r w:rsidR="008C5F81" w:rsidRPr="00B24164">
        <w:rPr>
          <w:rFonts w:ascii="Arial" w:hAnsi="Arial" w:cs="Arial"/>
          <w:sz w:val="20"/>
          <w:szCs w:val="20"/>
        </w:rPr>
        <w:t xml:space="preserve"> identificar que estos se incrementaron linealmente durante los 3 primeros </w:t>
      </w:r>
      <w:r w:rsidR="000232E4" w:rsidRPr="00B24164">
        <w:rPr>
          <w:rFonts w:ascii="Arial" w:hAnsi="Arial" w:cs="Arial"/>
          <w:sz w:val="20"/>
          <w:szCs w:val="20"/>
        </w:rPr>
        <w:t>días</w:t>
      </w:r>
      <w:r w:rsidR="008C5F81" w:rsidRPr="00B24164">
        <w:rPr>
          <w:rFonts w:ascii="Arial" w:hAnsi="Arial" w:cs="Arial"/>
          <w:sz w:val="20"/>
          <w:szCs w:val="20"/>
        </w:rPr>
        <w:t xml:space="preserve"> de aplicación para luego</w:t>
      </w:r>
      <w:r w:rsidR="000232E4" w:rsidRPr="00B24164">
        <w:rPr>
          <w:rFonts w:ascii="Arial" w:hAnsi="Arial" w:cs="Arial"/>
          <w:sz w:val="20"/>
          <w:szCs w:val="20"/>
        </w:rPr>
        <w:t xml:space="preserve"> provocarse descenso por debajo de la muestra basal, lo que indica mielosupresión a partir del 4 día de aplicación, efecto que se mantiene incluso una vez suspendida la aplicación</w:t>
      </w:r>
      <w:r w:rsidR="009B09D7" w:rsidRPr="00B24164">
        <w:rPr>
          <w:rFonts w:ascii="Arial" w:hAnsi="Arial" w:cs="Arial"/>
          <w:sz w:val="20"/>
          <w:szCs w:val="20"/>
        </w:rPr>
        <w:t xml:space="preserve">, cabe señalar que este fenómeno fue </w:t>
      </w:r>
      <w:r w:rsidR="00B24164" w:rsidRPr="00B24164">
        <w:rPr>
          <w:rFonts w:ascii="Arial" w:hAnsi="Arial" w:cs="Arial"/>
          <w:sz w:val="20"/>
          <w:szCs w:val="20"/>
        </w:rPr>
        <w:t>más</w:t>
      </w:r>
      <w:r w:rsidR="009B09D7" w:rsidRPr="00B24164">
        <w:rPr>
          <w:rFonts w:ascii="Arial" w:hAnsi="Arial" w:cs="Arial"/>
          <w:sz w:val="20"/>
          <w:szCs w:val="20"/>
        </w:rPr>
        <w:t xml:space="preserve"> claro en la dosis más baja (75</w:t>
      </w:r>
      <w:r w:rsidR="007F7FAD" w:rsidRPr="00B24164">
        <w:rPr>
          <w:rFonts w:ascii="Arial" w:hAnsi="Arial" w:cs="Arial"/>
          <w:sz w:val="20"/>
          <w:szCs w:val="20"/>
        </w:rPr>
        <w:t xml:space="preserve"> </w:t>
      </w:r>
      <w:r w:rsidR="009B09D7" w:rsidRPr="00B24164">
        <w:rPr>
          <w:rFonts w:ascii="Arial" w:hAnsi="Arial" w:cs="Arial"/>
          <w:sz w:val="20"/>
          <w:szCs w:val="20"/>
        </w:rPr>
        <w:t>mg)</w:t>
      </w:r>
      <w:r w:rsidR="000232E4" w:rsidRPr="00B24164">
        <w:rPr>
          <w:rFonts w:ascii="Arial" w:hAnsi="Arial" w:cs="Arial"/>
          <w:sz w:val="20"/>
          <w:szCs w:val="20"/>
        </w:rPr>
        <w:t>.</w:t>
      </w:r>
      <w:r w:rsidR="00CC3695" w:rsidRPr="00B24164">
        <w:rPr>
          <w:rFonts w:ascii="Arial" w:hAnsi="Arial" w:cs="Arial"/>
          <w:sz w:val="20"/>
          <w:szCs w:val="20"/>
        </w:rPr>
        <w:t xml:space="preserve"> Mientras que </w:t>
      </w:r>
      <w:r w:rsidR="009B09D7" w:rsidRPr="00B24164">
        <w:rPr>
          <w:rFonts w:ascii="Arial" w:hAnsi="Arial" w:cs="Arial"/>
          <w:sz w:val="20"/>
          <w:szCs w:val="20"/>
        </w:rPr>
        <w:t xml:space="preserve">la frecuencia de </w:t>
      </w:r>
      <w:r w:rsidR="00CC3695" w:rsidRPr="00B24164">
        <w:rPr>
          <w:rFonts w:ascii="Arial" w:hAnsi="Arial" w:cs="Arial"/>
          <w:sz w:val="20"/>
          <w:szCs w:val="20"/>
        </w:rPr>
        <w:t>EMN</w:t>
      </w:r>
      <w:r w:rsidR="00CF344F" w:rsidRPr="00B24164">
        <w:rPr>
          <w:rFonts w:ascii="Arial" w:hAnsi="Arial" w:cs="Arial"/>
          <w:sz w:val="20"/>
          <w:szCs w:val="20"/>
        </w:rPr>
        <w:t xml:space="preserve"> independientemente de la dosis se incrementa durante el transcurso de los 5 días de aplicación del medicamento, para disminuir sin llegar a la frecuencia basal. </w:t>
      </w:r>
      <w:r w:rsidR="000A2CB6" w:rsidRPr="00B24164">
        <w:rPr>
          <w:rFonts w:ascii="Arial" w:hAnsi="Arial" w:cs="Arial"/>
          <w:b/>
          <w:sz w:val="20"/>
          <w:szCs w:val="20"/>
        </w:rPr>
        <w:t>Metilprednisolona</w:t>
      </w:r>
      <w:r w:rsidR="000A2CB6" w:rsidRPr="00B24164">
        <w:rPr>
          <w:rFonts w:ascii="Arial" w:hAnsi="Arial" w:cs="Arial"/>
          <w:sz w:val="20"/>
          <w:szCs w:val="20"/>
        </w:rPr>
        <w:t xml:space="preserve">: Este compuesto mostró ligeras variaciones en la frecuencia de EPC a lo largo del experimento sin ser estadísticamente significativas, sin embargo en la frecuencia de los </w:t>
      </w:r>
      <w:r w:rsidR="00CC3695" w:rsidRPr="00B24164">
        <w:rPr>
          <w:rFonts w:ascii="Arial" w:hAnsi="Arial" w:cs="Arial"/>
          <w:sz w:val="20"/>
          <w:szCs w:val="20"/>
        </w:rPr>
        <w:t xml:space="preserve">EMN </w:t>
      </w:r>
      <w:r w:rsidR="000A2CB6" w:rsidRPr="00B24164">
        <w:rPr>
          <w:rFonts w:ascii="Arial" w:hAnsi="Arial" w:cs="Arial"/>
          <w:sz w:val="20"/>
          <w:szCs w:val="20"/>
        </w:rPr>
        <w:t xml:space="preserve">se identifica </w:t>
      </w:r>
      <w:r w:rsidR="00CC3695" w:rsidRPr="00B24164">
        <w:rPr>
          <w:rFonts w:ascii="Arial" w:hAnsi="Arial" w:cs="Arial"/>
          <w:sz w:val="20"/>
          <w:szCs w:val="20"/>
        </w:rPr>
        <w:t xml:space="preserve">incremento variable hasta alcanzar su pico máximo en el día 5 </w:t>
      </w:r>
      <w:r w:rsidR="000A2CB6" w:rsidRPr="00B24164">
        <w:rPr>
          <w:rFonts w:ascii="Arial" w:hAnsi="Arial" w:cs="Arial"/>
          <w:sz w:val="20"/>
          <w:szCs w:val="20"/>
        </w:rPr>
        <w:t xml:space="preserve">que corresponde al </w:t>
      </w:r>
      <w:r w:rsidR="00B24164" w:rsidRPr="00B24164">
        <w:rPr>
          <w:rFonts w:ascii="Arial" w:hAnsi="Arial" w:cs="Arial"/>
          <w:sz w:val="20"/>
          <w:szCs w:val="20"/>
        </w:rPr>
        <w:t>último</w:t>
      </w:r>
      <w:r w:rsidR="000A2CB6" w:rsidRPr="00B24164">
        <w:rPr>
          <w:rFonts w:ascii="Arial" w:hAnsi="Arial" w:cs="Arial"/>
          <w:sz w:val="20"/>
          <w:szCs w:val="20"/>
        </w:rPr>
        <w:t xml:space="preserve"> </w:t>
      </w:r>
      <w:r w:rsidR="00B24164" w:rsidRPr="00B24164">
        <w:rPr>
          <w:rFonts w:ascii="Arial" w:hAnsi="Arial" w:cs="Arial"/>
          <w:sz w:val="20"/>
          <w:szCs w:val="20"/>
        </w:rPr>
        <w:t>día</w:t>
      </w:r>
      <w:r w:rsidR="000A2CB6" w:rsidRPr="00B24164">
        <w:rPr>
          <w:rFonts w:ascii="Arial" w:hAnsi="Arial" w:cs="Arial"/>
          <w:sz w:val="20"/>
          <w:szCs w:val="20"/>
        </w:rPr>
        <w:t xml:space="preserve"> de aplicación del medicamente, para luego disminuir ligeramente pero sin llegar al valor basal</w:t>
      </w:r>
      <w:r w:rsidR="00CC3695" w:rsidRPr="00B24164">
        <w:rPr>
          <w:rFonts w:ascii="Arial" w:hAnsi="Arial" w:cs="Arial"/>
          <w:sz w:val="20"/>
          <w:szCs w:val="20"/>
        </w:rPr>
        <w:t>.</w:t>
      </w:r>
      <w:r w:rsidR="00FA33B9" w:rsidRPr="00B24164">
        <w:rPr>
          <w:rFonts w:ascii="Arial" w:hAnsi="Arial" w:cs="Arial"/>
          <w:sz w:val="20"/>
          <w:szCs w:val="20"/>
        </w:rPr>
        <w:t xml:space="preserve"> </w:t>
      </w:r>
      <w:r w:rsidR="00B24164" w:rsidRPr="00B24164">
        <w:rPr>
          <w:rFonts w:ascii="Arial" w:hAnsi="Arial" w:cs="Arial"/>
          <w:b/>
          <w:sz w:val="20"/>
          <w:szCs w:val="20"/>
        </w:rPr>
        <w:t>Betametasona</w:t>
      </w:r>
      <w:r w:rsidR="005B7971" w:rsidRPr="00B24164">
        <w:rPr>
          <w:rFonts w:ascii="Arial" w:hAnsi="Arial" w:cs="Arial"/>
          <w:sz w:val="20"/>
          <w:szCs w:val="20"/>
        </w:rPr>
        <w:t xml:space="preserve">: </w:t>
      </w:r>
      <w:r w:rsidR="00241494" w:rsidRPr="00B24164">
        <w:rPr>
          <w:rFonts w:ascii="Arial" w:hAnsi="Arial" w:cs="Arial"/>
          <w:sz w:val="20"/>
          <w:szCs w:val="20"/>
        </w:rPr>
        <w:t xml:space="preserve">Este compuesto mostro efecto citotóxico después de concluido el </w:t>
      </w:r>
      <w:r w:rsidR="0096489F" w:rsidRPr="00B24164">
        <w:rPr>
          <w:rFonts w:ascii="Arial" w:hAnsi="Arial" w:cs="Arial"/>
          <w:sz w:val="20"/>
          <w:szCs w:val="20"/>
        </w:rPr>
        <w:t>periodo</w:t>
      </w:r>
      <w:r w:rsidR="00241494" w:rsidRPr="00B24164">
        <w:rPr>
          <w:rFonts w:ascii="Arial" w:hAnsi="Arial" w:cs="Arial"/>
          <w:sz w:val="20"/>
          <w:szCs w:val="20"/>
        </w:rPr>
        <w:t xml:space="preserve"> de aplicación, lo que llama la atención es que independiente de la dosis el efecto genotóxico es claro </w:t>
      </w:r>
      <w:r w:rsidR="00241494" w:rsidRPr="00B24164">
        <w:rPr>
          <w:rFonts w:ascii="Arial" w:hAnsi="Arial" w:cs="Arial"/>
          <w:sz w:val="20"/>
          <w:szCs w:val="20"/>
        </w:rPr>
        <w:lastRenderedPageBreak/>
        <w:t>(p=0.01), incluso se observa aumento lineal dosis-respuesta del día 1 al 5, para después disminuir sin alcanzar la línea control en el día 9</w:t>
      </w:r>
      <w:r w:rsidR="00CC3695" w:rsidRPr="00B24164">
        <w:rPr>
          <w:rFonts w:ascii="Arial" w:hAnsi="Arial" w:cs="Arial"/>
          <w:sz w:val="20"/>
          <w:szCs w:val="20"/>
        </w:rPr>
        <w:t>.</w:t>
      </w:r>
      <w:r w:rsidR="00FA33B9" w:rsidRPr="00B24164">
        <w:rPr>
          <w:rFonts w:ascii="Arial" w:hAnsi="Arial" w:cs="Arial"/>
          <w:sz w:val="20"/>
          <w:szCs w:val="20"/>
        </w:rPr>
        <w:t xml:space="preserve"> </w:t>
      </w:r>
      <w:bookmarkStart w:id="0" w:name="_GoBack"/>
      <w:r w:rsidR="005B7971" w:rsidRPr="00322585">
        <w:rPr>
          <w:rFonts w:ascii="Arial" w:hAnsi="Arial" w:cs="Arial"/>
          <w:b/>
          <w:sz w:val="20"/>
          <w:szCs w:val="20"/>
        </w:rPr>
        <w:t>Clobetasol:</w:t>
      </w:r>
      <w:r w:rsidR="005B7971" w:rsidRPr="00B24164">
        <w:rPr>
          <w:rFonts w:ascii="Arial" w:hAnsi="Arial" w:cs="Arial"/>
          <w:sz w:val="20"/>
          <w:szCs w:val="20"/>
        </w:rPr>
        <w:t xml:space="preserve"> </w:t>
      </w:r>
      <w:bookmarkEnd w:id="0"/>
      <w:r w:rsidR="0096489F" w:rsidRPr="00B24164">
        <w:rPr>
          <w:rFonts w:ascii="Arial" w:hAnsi="Arial" w:cs="Arial"/>
          <w:sz w:val="20"/>
          <w:szCs w:val="20"/>
        </w:rPr>
        <w:t xml:space="preserve">Indujo ligera citotoxicidad después de los 5 días de aplicación incluso a mayor dosis menor </w:t>
      </w:r>
      <w:r w:rsidR="00B24164" w:rsidRPr="00B24164">
        <w:rPr>
          <w:rFonts w:ascii="Arial" w:hAnsi="Arial" w:cs="Arial"/>
          <w:sz w:val="20"/>
          <w:szCs w:val="20"/>
        </w:rPr>
        <w:t>frecuencia</w:t>
      </w:r>
      <w:r w:rsidR="0096489F" w:rsidRPr="00B24164">
        <w:rPr>
          <w:rFonts w:ascii="Arial" w:hAnsi="Arial" w:cs="Arial"/>
          <w:sz w:val="20"/>
          <w:szCs w:val="20"/>
        </w:rPr>
        <w:t xml:space="preserve"> de EPC, en relación a los </w:t>
      </w:r>
      <w:r w:rsidR="00CC3695" w:rsidRPr="00B24164">
        <w:rPr>
          <w:rFonts w:ascii="Arial" w:hAnsi="Arial" w:cs="Arial"/>
          <w:sz w:val="20"/>
          <w:szCs w:val="20"/>
        </w:rPr>
        <w:t>EMN</w:t>
      </w:r>
      <w:r w:rsidR="0096489F" w:rsidRPr="00B24164">
        <w:rPr>
          <w:rFonts w:ascii="Arial" w:hAnsi="Arial" w:cs="Arial"/>
          <w:sz w:val="20"/>
          <w:szCs w:val="20"/>
        </w:rPr>
        <w:t>, no muestra efecto genotóxico.</w:t>
      </w:r>
    </w:p>
    <w:p w:rsidR="003F44F1" w:rsidRDefault="004E5680" w:rsidP="00CB6223">
      <w:pPr>
        <w:pStyle w:val="Sinespaciado"/>
        <w:jc w:val="both"/>
        <w:rPr>
          <w:rFonts w:ascii="Arial" w:hAnsi="Arial" w:cs="Arial"/>
          <w:sz w:val="20"/>
          <w:szCs w:val="20"/>
        </w:rPr>
      </w:pPr>
      <w:r w:rsidRPr="00B24164">
        <w:rPr>
          <w:rFonts w:ascii="Arial" w:hAnsi="Arial" w:cs="Arial"/>
          <w:sz w:val="20"/>
          <w:szCs w:val="20"/>
        </w:rPr>
        <w:t xml:space="preserve"> </w:t>
      </w:r>
    </w:p>
    <w:p w:rsidR="00331F54" w:rsidRDefault="00331F54" w:rsidP="00CB6223">
      <w:pPr>
        <w:pStyle w:val="Sinespaciado"/>
        <w:jc w:val="both"/>
        <w:rPr>
          <w:rFonts w:ascii="Arial" w:hAnsi="Arial" w:cs="Arial"/>
          <w:sz w:val="20"/>
          <w:szCs w:val="20"/>
        </w:rPr>
      </w:pPr>
      <w:r w:rsidRPr="00B24164">
        <w:rPr>
          <w:rFonts w:ascii="Arial" w:hAnsi="Arial" w:cs="Arial"/>
          <w:noProof/>
          <w:sz w:val="20"/>
          <w:szCs w:val="20"/>
          <w:lang w:eastAsia="es-MX"/>
        </w:rPr>
        <w:drawing>
          <wp:anchor distT="0" distB="0" distL="114300" distR="114300" simplePos="0" relativeHeight="251676672" behindDoc="1" locked="0" layoutInCell="1" allowOverlap="1" wp14:anchorId="2C647010" wp14:editId="242BE46A">
            <wp:simplePos x="0" y="0"/>
            <wp:positionH relativeFrom="column">
              <wp:posOffset>1062990</wp:posOffset>
            </wp:positionH>
            <wp:positionV relativeFrom="paragraph">
              <wp:posOffset>8255</wp:posOffset>
            </wp:positionV>
            <wp:extent cx="3489326" cy="4161790"/>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200"/>
                    <a:stretch>
                      <a:fillRect/>
                    </a:stretch>
                  </pic:blipFill>
                  <pic:spPr bwMode="auto">
                    <a:xfrm>
                      <a:off x="0" y="0"/>
                      <a:ext cx="3489493" cy="41619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sz w:val="20"/>
          <w:szCs w:val="20"/>
        </w:rPr>
      </w:pPr>
    </w:p>
    <w:p w:rsidR="00331F54" w:rsidRDefault="00331F54" w:rsidP="00CB6223">
      <w:pPr>
        <w:pStyle w:val="Sinespaciado"/>
        <w:jc w:val="both"/>
        <w:rPr>
          <w:rFonts w:ascii="Arial" w:hAnsi="Arial" w:cs="Arial"/>
          <w:b/>
          <w:sz w:val="20"/>
          <w:szCs w:val="20"/>
        </w:rPr>
      </w:pPr>
    </w:p>
    <w:p w:rsidR="0073400D" w:rsidRPr="00B24164" w:rsidRDefault="0073400D" w:rsidP="00CB6223">
      <w:pPr>
        <w:pStyle w:val="Sinespaciado"/>
        <w:jc w:val="both"/>
        <w:rPr>
          <w:rFonts w:ascii="Arial" w:hAnsi="Arial" w:cs="Arial"/>
          <w:b/>
          <w:sz w:val="20"/>
          <w:szCs w:val="20"/>
        </w:rPr>
      </w:pPr>
    </w:p>
    <w:p w:rsidR="00CC3695" w:rsidRPr="00B24164" w:rsidRDefault="00CC3695" w:rsidP="00CC3695">
      <w:pPr>
        <w:jc w:val="both"/>
        <w:rPr>
          <w:rFonts w:ascii="Arial" w:hAnsi="Arial" w:cs="Arial"/>
          <w:b/>
          <w:sz w:val="20"/>
          <w:szCs w:val="20"/>
          <w:lang w:val="es-MX"/>
        </w:rPr>
      </w:pPr>
      <w:r w:rsidRPr="00B24164">
        <w:rPr>
          <w:rFonts w:ascii="Arial" w:hAnsi="Arial" w:cs="Arial"/>
          <w:b/>
          <w:sz w:val="20"/>
          <w:szCs w:val="20"/>
          <w:lang w:val="es-MX"/>
        </w:rPr>
        <w:t>CONCLUSIONES</w:t>
      </w:r>
    </w:p>
    <w:p w:rsidR="00FA3AF2" w:rsidRDefault="00FA3AF2" w:rsidP="00FA3AF2">
      <w:pPr>
        <w:pStyle w:val="Sinespaciado"/>
        <w:jc w:val="both"/>
        <w:rPr>
          <w:rFonts w:ascii="Arial" w:hAnsi="Arial" w:cs="Arial"/>
          <w:sz w:val="20"/>
          <w:szCs w:val="20"/>
        </w:rPr>
      </w:pPr>
      <w:r w:rsidRPr="00B24164">
        <w:rPr>
          <w:rFonts w:ascii="Arial" w:hAnsi="Arial" w:cs="Arial"/>
          <w:sz w:val="20"/>
          <w:szCs w:val="20"/>
        </w:rPr>
        <w:t xml:space="preserve">Cabe señalar que normalmente no se vigila el uso de los </w:t>
      </w:r>
      <w:proofErr w:type="spellStart"/>
      <w:r w:rsidRPr="00B24164">
        <w:rPr>
          <w:rFonts w:ascii="Arial" w:hAnsi="Arial" w:cs="Arial"/>
          <w:sz w:val="20"/>
          <w:szCs w:val="20"/>
        </w:rPr>
        <w:t>corticosteriodes</w:t>
      </w:r>
      <w:proofErr w:type="spellEnd"/>
      <w:r w:rsidRPr="00B24164">
        <w:rPr>
          <w:rFonts w:ascii="Arial" w:hAnsi="Arial" w:cs="Arial"/>
          <w:sz w:val="20"/>
          <w:szCs w:val="20"/>
        </w:rPr>
        <w:t xml:space="preserve"> tópicos, y con este trabajo se demuestra que estos compuestos aun que se catalogan como de acción suave y la literatura describe que se metabolizan el estrato corneo de la dermis estos resultados arrojan que aun estos compuestos son capaces de penetrar a medula ósea donde causan citotoxicidad</w:t>
      </w:r>
      <w:r w:rsidR="00627629" w:rsidRPr="00B24164">
        <w:rPr>
          <w:rFonts w:ascii="Arial" w:hAnsi="Arial" w:cs="Arial"/>
          <w:sz w:val="20"/>
          <w:szCs w:val="20"/>
        </w:rPr>
        <w:t xml:space="preserve"> efecto expuesto por la disminución en la producción de EPC además de </w:t>
      </w:r>
      <w:r w:rsidRPr="00B24164">
        <w:rPr>
          <w:rFonts w:ascii="Arial" w:hAnsi="Arial" w:cs="Arial"/>
          <w:sz w:val="20"/>
          <w:szCs w:val="20"/>
        </w:rPr>
        <w:t xml:space="preserve">inestabilidad genómica, mostrado por la formación de EMN. </w:t>
      </w:r>
    </w:p>
    <w:p w:rsidR="00331F54" w:rsidRDefault="00331F54" w:rsidP="00C03DDA">
      <w:pPr>
        <w:jc w:val="both"/>
        <w:rPr>
          <w:rFonts w:ascii="Arial" w:hAnsi="Arial" w:cs="Arial"/>
          <w:sz w:val="20"/>
          <w:szCs w:val="20"/>
          <w:lang w:val="es-MX"/>
        </w:rPr>
      </w:pPr>
    </w:p>
    <w:p w:rsidR="0073400D" w:rsidRPr="00B24164" w:rsidRDefault="0073400D" w:rsidP="00C03DDA">
      <w:pPr>
        <w:jc w:val="both"/>
        <w:rPr>
          <w:rFonts w:ascii="Arial" w:hAnsi="Arial" w:cs="Arial"/>
          <w:sz w:val="20"/>
          <w:szCs w:val="20"/>
          <w:lang w:val="es-MX"/>
        </w:rPr>
      </w:pPr>
    </w:p>
    <w:p w:rsidR="00CC3695" w:rsidRPr="00B24164" w:rsidRDefault="005E5FAE" w:rsidP="00CC3695">
      <w:pPr>
        <w:pStyle w:val="BodyofPaper"/>
        <w:rPr>
          <w:rFonts w:ascii="Arial" w:hAnsi="Arial" w:cs="Arial"/>
          <w:b/>
          <w:lang w:val="es-MX"/>
        </w:rPr>
      </w:pPr>
      <w:r w:rsidRPr="00B24164">
        <w:rPr>
          <w:rFonts w:ascii="Arial" w:hAnsi="Arial" w:cs="Arial"/>
          <w:b/>
          <w:lang w:val="es-MX"/>
        </w:rPr>
        <w:t xml:space="preserve">BIBLIOGRAFÍA </w:t>
      </w:r>
    </w:p>
    <w:p w:rsidR="00CC3695" w:rsidRPr="00B24164" w:rsidRDefault="00CC3695" w:rsidP="00C82D87">
      <w:pPr>
        <w:pStyle w:val="Textoindependiente31"/>
        <w:widowControl/>
        <w:numPr>
          <w:ilvl w:val="0"/>
          <w:numId w:val="5"/>
        </w:numPr>
        <w:tabs>
          <w:tab w:val="left" w:pos="142"/>
        </w:tabs>
        <w:spacing w:line="240" w:lineRule="auto"/>
        <w:ind w:left="142" w:right="51" w:hanging="142"/>
        <w:rPr>
          <w:rFonts w:cs="Arial"/>
          <w:sz w:val="20"/>
        </w:rPr>
      </w:pPr>
      <w:r w:rsidRPr="00B24164">
        <w:rPr>
          <w:rFonts w:cs="Arial"/>
          <w:sz w:val="20"/>
        </w:rPr>
        <w:t xml:space="preserve">Guerra Tapia A. El impacto de los nuevos </w:t>
      </w:r>
      <w:proofErr w:type="spellStart"/>
      <w:r w:rsidRPr="00B24164">
        <w:rPr>
          <w:rFonts w:cs="Arial"/>
          <w:sz w:val="20"/>
        </w:rPr>
        <w:t>corticoesteroides</w:t>
      </w:r>
      <w:proofErr w:type="spellEnd"/>
      <w:r w:rsidRPr="00B24164">
        <w:rPr>
          <w:rFonts w:cs="Arial"/>
          <w:sz w:val="20"/>
        </w:rPr>
        <w:t xml:space="preserve"> tópicos en el tratamiento de la dermatitis atópica. Actas </w:t>
      </w:r>
      <w:proofErr w:type="spellStart"/>
      <w:r w:rsidRPr="00B24164">
        <w:rPr>
          <w:rFonts w:cs="Arial"/>
          <w:sz w:val="20"/>
        </w:rPr>
        <w:t>Dermosifiliogr</w:t>
      </w:r>
      <w:proofErr w:type="spellEnd"/>
      <w:r w:rsidRPr="00B24164">
        <w:rPr>
          <w:rFonts w:cs="Arial"/>
          <w:sz w:val="20"/>
        </w:rPr>
        <w:t xml:space="preserve">. 2001. 92:483-488. </w:t>
      </w:r>
    </w:p>
    <w:p w:rsidR="00CC3695" w:rsidRPr="00B24164" w:rsidRDefault="00CC3695" w:rsidP="00C82D87">
      <w:pPr>
        <w:pStyle w:val="Textoindependiente31"/>
        <w:widowControl/>
        <w:numPr>
          <w:ilvl w:val="0"/>
          <w:numId w:val="5"/>
        </w:numPr>
        <w:tabs>
          <w:tab w:val="left" w:pos="142"/>
        </w:tabs>
        <w:spacing w:line="240" w:lineRule="auto"/>
        <w:ind w:left="142" w:right="51" w:hanging="142"/>
        <w:rPr>
          <w:rFonts w:cs="Arial"/>
          <w:sz w:val="20"/>
        </w:rPr>
      </w:pPr>
      <w:proofErr w:type="spellStart"/>
      <w:r w:rsidRPr="00B24164">
        <w:rPr>
          <w:rFonts w:cs="Arial"/>
          <w:sz w:val="20"/>
        </w:rPr>
        <w:t>Ballona</w:t>
      </w:r>
      <w:proofErr w:type="spellEnd"/>
      <w:r w:rsidRPr="00B24164">
        <w:rPr>
          <w:rFonts w:cs="Arial"/>
          <w:sz w:val="20"/>
        </w:rPr>
        <w:t xml:space="preserve">  Chambergo R.,</w:t>
      </w:r>
      <w:r w:rsidR="00344496" w:rsidRPr="00B24164">
        <w:rPr>
          <w:rFonts w:cs="Arial"/>
          <w:sz w:val="20"/>
        </w:rPr>
        <w:t xml:space="preserve"> et al., </w:t>
      </w:r>
      <w:r w:rsidRPr="00B24164">
        <w:rPr>
          <w:rFonts w:cs="Arial"/>
          <w:sz w:val="20"/>
        </w:rPr>
        <w:t>Co</w:t>
      </w:r>
      <w:r w:rsidR="00344496" w:rsidRPr="00B24164">
        <w:rPr>
          <w:rFonts w:cs="Arial"/>
          <w:sz w:val="20"/>
        </w:rPr>
        <w:t>r</w:t>
      </w:r>
      <w:r w:rsidRPr="00B24164">
        <w:rPr>
          <w:rFonts w:cs="Arial"/>
          <w:sz w:val="20"/>
        </w:rPr>
        <w:t xml:space="preserve">ticoides tópicos en pediatría: Una puesta al día. Dermatología </w:t>
      </w:r>
      <w:proofErr w:type="spellStart"/>
      <w:r w:rsidRPr="00B24164">
        <w:rPr>
          <w:rFonts w:cs="Arial"/>
          <w:sz w:val="20"/>
        </w:rPr>
        <w:t>Peruna</w:t>
      </w:r>
      <w:proofErr w:type="spellEnd"/>
      <w:r w:rsidRPr="00B24164">
        <w:rPr>
          <w:rFonts w:cs="Arial"/>
          <w:sz w:val="20"/>
        </w:rPr>
        <w:t>. 2003. 13;</w:t>
      </w:r>
      <w:r w:rsidR="0046412A" w:rsidRPr="00B24164">
        <w:rPr>
          <w:rFonts w:cs="Arial"/>
          <w:sz w:val="20"/>
        </w:rPr>
        <w:t xml:space="preserve"> </w:t>
      </w:r>
      <w:r w:rsidRPr="00B24164">
        <w:rPr>
          <w:rFonts w:cs="Arial"/>
          <w:sz w:val="20"/>
        </w:rPr>
        <w:t>3: 163-170.</w:t>
      </w:r>
    </w:p>
    <w:p w:rsidR="00CC3695" w:rsidRPr="00B24164" w:rsidRDefault="00CC3695" w:rsidP="0046412A">
      <w:pPr>
        <w:pStyle w:val="Textoindependiente31"/>
        <w:widowControl/>
        <w:numPr>
          <w:ilvl w:val="0"/>
          <w:numId w:val="5"/>
        </w:numPr>
        <w:tabs>
          <w:tab w:val="left" w:pos="142"/>
        </w:tabs>
        <w:spacing w:line="240" w:lineRule="auto"/>
        <w:ind w:left="142" w:right="51" w:hanging="142"/>
        <w:rPr>
          <w:rFonts w:cs="Arial"/>
          <w:sz w:val="20"/>
        </w:rPr>
      </w:pPr>
      <w:proofErr w:type="spellStart"/>
      <w:r w:rsidRPr="00B24164">
        <w:rPr>
          <w:rFonts w:cs="Arial"/>
          <w:spacing w:val="-5"/>
          <w:sz w:val="20"/>
        </w:rPr>
        <w:lastRenderedPageBreak/>
        <w:t>Bonassi</w:t>
      </w:r>
      <w:proofErr w:type="spellEnd"/>
      <w:r w:rsidRPr="00B24164">
        <w:rPr>
          <w:rFonts w:cs="Arial"/>
          <w:spacing w:val="-5"/>
          <w:sz w:val="20"/>
        </w:rPr>
        <w:t xml:space="preserve"> S, </w:t>
      </w:r>
      <w:r w:rsidR="00EA5D15" w:rsidRPr="00B24164">
        <w:rPr>
          <w:rFonts w:cs="Arial"/>
          <w:i/>
          <w:spacing w:val="-5"/>
          <w:sz w:val="20"/>
        </w:rPr>
        <w:t>et al.,</w:t>
      </w:r>
      <w:r w:rsidR="00EA5D15" w:rsidRPr="00B24164">
        <w:rPr>
          <w:rFonts w:cs="Arial"/>
          <w:spacing w:val="-5"/>
          <w:sz w:val="20"/>
        </w:rPr>
        <w:t xml:space="preserve"> </w:t>
      </w:r>
      <w:r w:rsidRPr="00B24164">
        <w:rPr>
          <w:rFonts w:cs="Arial"/>
          <w:spacing w:val="-5"/>
          <w:sz w:val="20"/>
          <w:lang w:val="en-US"/>
        </w:rPr>
        <w:t xml:space="preserve">The </w:t>
      </w:r>
      <w:proofErr w:type="spellStart"/>
      <w:r w:rsidRPr="00B24164">
        <w:rPr>
          <w:rFonts w:cs="Arial"/>
          <w:spacing w:val="-5"/>
          <w:sz w:val="20"/>
          <w:lang w:val="en-US"/>
        </w:rPr>
        <w:t>HUmanMicroNucleus</w:t>
      </w:r>
      <w:proofErr w:type="spellEnd"/>
      <w:r w:rsidRPr="00B24164">
        <w:rPr>
          <w:rFonts w:cs="Arial"/>
          <w:spacing w:val="-5"/>
          <w:sz w:val="20"/>
          <w:lang w:val="en-US"/>
        </w:rPr>
        <w:t xml:space="preserve"> project on exfoliated buccal cells (HUMN</w:t>
      </w:r>
      <w:r w:rsidRPr="00B24164">
        <w:rPr>
          <w:rFonts w:cs="Arial"/>
          <w:spacing w:val="-5"/>
          <w:sz w:val="20"/>
          <w:vertAlign w:val="subscript"/>
          <w:lang w:val="en-US"/>
        </w:rPr>
        <w:t>XL</w:t>
      </w:r>
      <w:r w:rsidRPr="00B24164">
        <w:rPr>
          <w:rFonts w:cs="Arial"/>
          <w:spacing w:val="-5"/>
          <w:sz w:val="20"/>
          <w:lang w:val="en-US"/>
        </w:rPr>
        <w:t>): The role of life-style, host factors, occupational exposures, health status, and assay protocol.</w:t>
      </w:r>
      <w:r w:rsidR="0046412A" w:rsidRPr="00B24164">
        <w:rPr>
          <w:rFonts w:cs="Arial"/>
          <w:spacing w:val="-5"/>
          <w:sz w:val="20"/>
          <w:lang w:val="en-US"/>
        </w:rPr>
        <w:t xml:space="preserve"> </w:t>
      </w:r>
      <w:r w:rsidRPr="00B24164">
        <w:rPr>
          <w:rFonts w:cs="Arial"/>
          <w:bCs/>
          <w:spacing w:val="-5"/>
          <w:sz w:val="20"/>
          <w:lang w:val="en-US"/>
        </w:rPr>
        <w:t>Mutation Research Reviews</w:t>
      </w:r>
      <w:r w:rsidRPr="00331F54">
        <w:rPr>
          <w:rFonts w:cs="Arial"/>
          <w:bCs/>
          <w:spacing w:val="-5"/>
          <w:sz w:val="20"/>
          <w:lang w:val="en-US"/>
        </w:rPr>
        <w:t xml:space="preserve">. </w:t>
      </w:r>
      <w:r w:rsidR="00331F54" w:rsidRPr="00331F54">
        <w:rPr>
          <w:rFonts w:cs="Arial"/>
          <w:bCs/>
          <w:spacing w:val="-5"/>
          <w:sz w:val="20"/>
          <w:lang w:val="en-US"/>
        </w:rPr>
        <w:t>2011</w:t>
      </w:r>
      <w:r w:rsidR="0046412A" w:rsidRPr="00331F54">
        <w:rPr>
          <w:rFonts w:cs="Arial"/>
          <w:bCs/>
          <w:spacing w:val="-5"/>
          <w:sz w:val="20"/>
          <w:lang w:val="en-US"/>
        </w:rPr>
        <w:t>.</w:t>
      </w:r>
      <w:r w:rsidR="0046412A" w:rsidRPr="00B24164">
        <w:rPr>
          <w:rFonts w:cs="Arial"/>
          <w:bCs/>
          <w:spacing w:val="-5"/>
          <w:sz w:val="20"/>
          <w:lang w:val="en-US"/>
        </w:rPr>
        <w:t xml:space="preserve"> </w:t>
      </w:r>
      <w:r w:rsidRPr="00B24164">
        <w:rPr>
          <w:rFonts w:cs="Arial"/>
          <w:bCs/>
          <w:spacing w:val="-5"/>
          <w:sz w:val="20"/>
          <w:lang w:val="en-US"/>
        </w:rPr>
        <w:t>728:88-97.</w:t>
      </w:r>
    </w:p>
    <w:p w:rsidR="00CC3695" w:rsidRPr="00FC464B" w:rsidRDefault="00CC3695" w:rsidP="00C82D87">
      <w:pPr>
        <w:pStyle w:val="Sangra2detindependiente1"/>
        <w:widowControl/>
        <w:numPr>
          <w:ilvl w:val="0"/>
          <w:numId w:val="5"/>
        </w:numPr>
        <w:tabs>
          <w:tab w:val="left" w:pos="142"/>
        </w:tabs>
        <w:spacing w:line="240" w:lineRule="auto"/>
        <w:ind w:left="142" w:right="51" w:hanging="142"/>
        <w:rPr>
          <w:rFonts w:cs="Arial"/>
          <w:sz w:val="20"/>
          <w:lang w:val="en-US"/>
        </w:rPr>
      </w:pPr>
      <w:proofErr w:type="spellStart"/>
      <w:r w:rsidRPr="00FC464B">
        <w:rPr>
          <w:rFonts w:cs="Arial"/>
          <w:sz w:val="20"/>
        </w:rPr>
        <w:t>Heddle</w:t>
      </w:r>
      <w:proofErr w:type="spellEnd"/>
      <w:r w:rsidRPr="00FC464B">
        <w:rPr>
          <w:rFonts w:cs="Arial"/>
          <w:sz w:val="20"/>
        </w:rPr>
        <w:t xml:space="preserve"> JA, </w:t>
      </w:r>
      <w:r w:rsidR="00D84B57" w:rsidRPr="00FC464B">
        <w:rPr>
          <w:rFonts w:cs="Arial"/>
          <w:i/>
          <w:sz w:val="20"/>
        </w:rPr>
        <w:t>et al.,</w:t>
      </w:r>
      <w:r w:rsidR="0046412A" w:rsidRPr="00FC464B">
        <w:rPr>
          <w:rFonts w:cs="Arial"/>
          <w:sz w:val="20"/>
        </w:rPr>
        <w:t xml:space="preserve"> </w:t>
      </w:r>
      <w:r w:rsidRPr="00FC464B">
        <w:rPr>
          <w:rFonts w:cs="Arial"/>
          <w:sz w:val="20"/>
          <w:lang w:val="en-US"/>
        </w:rPr>
        <w:t xml:space="preserve">Micronuclei as an index of cytogenetic damage: past, present and future. Environ </w:t>
      </w:r>
      <w:proofErr w:type="spellStart"/>
      <w:r w:rsidRPr="00FC464B">
        <w:rPr>
          <w:rFonts w:cs="Arial"/>
          <w:sz w:val="20"/>
          <w:lang w:val="en-US"/>
        </w:rPr>
        <w:t>Mol</w:t>
      </w:r>
      <w:proofErr w:type="spellEnd"/>
      <w:r w:rsidRPr="00FC464B">
        <w:rPr>
          <w:rFonts w:cs="Arial"/>
          <w:sz w:val="20"/>
          <w:lang w:val="en-US"/>
        </w:rPr>
        <w:t xml:space="preserve"> Mutagen.</w:t>
      </w:r>
      <w:r w:rsidR="0046412A" w:rsidRPr="00FC464B">
        <w:rPr>
          <w:rFonts w:cs="Arial"/>
          <w:sz w:val="20"/>
          <w:lang w:val="en-US"/>
        </w:rPr>
        <w:t xml:space="preserve"> </w:t>
      </w:r>
      <w:r w:rsidR="0046412A" w:rsidRPr="00FC464B">
        <w:rPr>
          <w:rFonts w:cs="Arial"/>
          <w:sz w:val="20"/>
        </w:rPr>
        <w:t>1991</w:t>
      </w:r>
      <w:proofErr w:type="gramStart"/>
      <w:r w:rsidR="0046412A" w:rsidRPr="00FC464B">
        <w:rPr>
          <w:rFonts w:cs="Arial"/>
          <w:sz w:val="20"/>
        </w:rPr>
        <w:t>;</w:t>
      </w:r>
      <w:r w:rsidRPr="00FC464B">
        <w:rPr>
          <w:rFonts w:cs="Arial"/>
          <w:sz w:val="20"/>
          <w:lang w:val="en-US"/>
        </w:rPr>
        <w:t>18:277</w:t>
      </w:r>
      <w:proofErr w:type="gramEnd"/>
      <w:r w:rsidRPr="00FC464B">
        <w:rPr>
          <w:rFonts w:cs="Arial"/>
          <w:sz w:val="20"/>
          <w:lang w:val="en-US"/>
        </w:rPr>
        <w:t>-291.</w:t>
      </w:r>
    </w:p>
    <w:p w:rsidR="00CC3695" w:rsidRPr="00FC464B" w:rsidRDefault="00CC3695" w:rsidP="00C82D87">
      <w:pPr>
        <w:pStyle w:val="Sangra2detindependiente1"/>
        <w:widowControl/>
        <w:numPr>
          <w:ilvl w:val="0"/>
          <w:numId w:val="5"/>
        </w:numPr>
        <w:tabs>
          <w:tab w:val="left" w:pos="142"/>
        </w:tabs>
        <w:spacing w:line="240" w:lineRule="auto"/>
        <w:ind w:left="142" w:right="51" w:hanging="142"/>
        <w:rPr>
          <w:rFonts w:cs="Arial"/>
          <w:sz w:val="20"/>
        </w:rPr>
      </w:pPr>
      <w:r w:rsidRPr="00FC464B">
        <w:rPr>
          <w:rFonts w:cs="Arial"/>
          <w:sz w:val="20"/>
          <w:lang w:val="en-US"/>
        </w:rPr>
        <w:t xml:space="preserve">Lang R, </w:t>
      </w:r>
      <w:proofErr w:type="spellStart"/>
      <w:r w:rsidRPr="00FC464B">
        <w:rPr>
          <w:rFonts w:cs="Arial"/>
          <w:sz w:val="20"/>
          <w:lang w:val="en-US"/>
        </w:rPr>
        <w:t>Reimann</w:t>
      </w:r>
      <w:proofErr w:type="spellEnd"/>
      <w:r w:rsidRPr="00FC464B">
        <w:rPr>
          <w:rFonts w:cs="Arial"/>
          <w:sz w:val="20"/>
          <w:lang w:val="en-US"/>
        </w:rPr>
        <w:t xml:space="preserve"> R. Studies for a </w:t>
      </w:r>
      <w:proofErr w:type="spellStart"/>
      <w:r w:rsidRPr="00FC464B">
        <w:rPr>
          <w:rFonts w:cs="Arial"/>
          <w:sz w:val="20"/>
          <w:lang w:val="en-US"/>
        </w:rPr>
        <w:t>genotoxic</w:t>
      </w:r>
      <w:proofErr w:type="spellEnd"/>
      <w:r w:rsidRPr="00FC464B">
        <w:rPr>
          <w:rFonts w:cs="Arial"/>
          <w:sz w:val="20"/>
          <w:lang w:val="en-US"/>
        </w:rPr>
        <w:t xml:space="preserve"> potential of some endogenous and exogenous sex steroids. I. </w:t>
      </w:r>
      <w:proofErr w:type="gramStart"/>
      <w:r w:rsidRPr="00FC464B">
        <w:rPr>
          <w:rFonts w:cs="Arial"/>
          <w:sz w:val="20"/>
          <w:lang w:val="en-US"/>
        </w:rPr>
        <w:t>Communication :Examination</w:t>
      </w:r>
      <w:proofErr w:type="gramEnd"/>
      <w:r w:rsidRPr="00FC464B">
        <w:rPr>
          <w:rFonts w:cs="Arial"/>
          <w:sz w:val="20"/>
          <w:lang w:val="en-US"/>
        </w:rPr>
        <w:t xml:space="preserve"> for the induction of gene mutation using the Ames Salmonella/</w:t>
      </w:r>
      <w:proofErr w:type="spellStart"/>
      <w:r w:rsidRPr="00FC464B">
        <w:rPr>
          <w:rFonts w:cs="Arial"/>
          <w:sz w:val="20"/>
          <w:lang w:val="en-US"/>
        </w:rPr>
        <w:t>Microsome</w:t>
      </w:r>
      <w:proofErr w:type="spellEnd"/>
      <w:r w:rsidRPr="00FC464B">
        <w:rPr>
          <w:rFonts w:cs="Arial"/>
          <w:sz w:val="20"/>
          <w:lang w:val="en-US"/>
        </w:rPr>
        <w:t xml:space="preserve"> test and the HGPRT test in V/) cells Environ </w:t>
      </w:r>
      <w:proofErr w:type="spellStart"/>
      <w:r w:rsidRPr="00FC464B">
        <w:rPr>
          <w:rFonts w:cs="Arial"/>
          <w:sz w:val="20"/>
          <w:lang w:val="en-US"/>
        </w:rPr>
        <w:t>Mol</w:t>
      </w:r>
      <w:proofErr w:type="spellEnd"/>
      <w:r w:rsidRPr="00FC464B">
        <w:rPr>
          <w:rFonts w:cs="Arial"/>
          <w:sz w:val="20"/>
          <w:lang w:val="en-US"/>
        </w:rPr>
        <w:t xml:space="preserve"> Mutagen. </w:t>
      </w:r>
      <w:r w:rsidRPr="00FC464B">
        <w:rPr>
          <w:rFonts w:cs="Arial"/>
          <w:sz w:val="20"/>
        </w:rPr>
        <w:t>1993; 21: 272-304.</w:t>
      </w:r>
    </w:p>
    <w:p w:rsidR="00CC3695" w:rsidRPr="00FC464B" w:rsidRDefault="00CC3695" w:rsidP="00C82D87">
      <w:pPr>
        <w:pStyle w:val="Sangra2detindependiente1"/>
        <w:widowControl/>
        <w:numPr>
          <w:ilvl w:val="0"/>
          <w:numId w:val="5"/>
        </w:numPr>
        <w:tabs>
          <w:tab w:val="left" w:pos="142"/>
        </w:tabs>
        <w:spacing w:line="240" w:lineRule="auto"/>
        <w:ind w:left="142" w:right="51" w:hanging="142"/>
        <w:rPr>
          <w:rFonts w:cs="Arial"/>
          <w:sz w:val="20"/>
        </w:rPr>
      </w:pPr>
      <w:proofErr w:type="spellStart"/>
      <w:r w:rsidRPr="00FC464B">
        <w:rPr>
          <w:rFonts w:cs="Arial"/>
          <w:sz w:val="20"/>
          <w:lang w:val="en-US"/>
        </w:rPr>
        <w:t>Schmid</w:t>
      </w:r>
      <w:proofErr w:type="spellEnd"/>
      <w:r w:rsidRPr="00FC464B">
        <w:rPr>
          <w:rFonts w:cs="Arial"/>
          <w:sz w:val="20"/>
          <w:lang w:val="en-US"/>
        </w:rPr>
        <w:t xml:space="preserve"> W.</w:t>
      </w:r>
      <w:r w:rsidR="00C57E60" w:rsidRPr="00FC464B">
        <w:rPr>
          <w:rFonts w:cs="Arial"/>
          <w:sz w:val="20"/>
          <w:lang w:val="en-US"/>
        </w:rPr>
        <w:t xml:space="preserve"> </w:t>
      </w:r>
      <w:r w:rsidRPr="00FC464B">
        <w:rPr>
          <w:rFonts w:cs="Arial"/>
          <w:sz w:val="20"/>
          <w:lang w:val="en-US"/>
        </w:rPr>
        <w:t xml:space="preserve">The micronucleus tests. </w:t>
      </w:r>
      <w:proofErr w:type="spellStart"/>
      <w:r w:rsidRPr="00FC464B">
        <w:rPr>
          <w:rFonts w:cs="Arial"/>
          <w:sz w:val="20"/>
        </w:rPr>
        <w:t>Mutat</w:t>
      </w:r>
      <w:proofErr w:type="spellEnd"/>
      <w:r w:rsidRPr="00FC464B">
        <w:rPr>
          <w:rFonts w:cs="Arial"/>
          <w:sz w:val="20"/>
        </w:rPr>
        <w:t xml:space="preserve"> Res.</w:t>
      </w:r>
      <w:r w:rsidR="00636080" w:rsidRPr="00FC464B">
        <w:rPr>
          <w:rFonts w:cs="Arial"/>
          <w:sz w:val="20"/>
        </w:rPr>
        <w:t xml:space="preserve"> </w:t>
      </w:r>
      <w:r w:rsidR="00636080" w:rsidRPr="00FC464B">
        <w:rPr>
          <w:rFonts w:cs="Arial"/>
          <w:sz w:val="20"/>
          <w:lang w:val="en-US"/>
        </w:rPr>
        <w:t xml:space="preserve">1995; </w:t>
      </w:r>
      <w:r w:rsidRPr="00FC464B">
        <w:rPr>
          <w:rFonts w:cs="Arial"/>
          <w:sz w:val="20"/>
        </w:rPr>
        <w:t>31:9-15.</w:t>
      </w:r>
    </w:p>
    <w:p w:rsidR="00CC3695" w:rsidRPr="00FC464B" w:rsidRDefault="00CC3695" w:rsidP="00C82D87">
      <w:pPr>
        <w:numPr>
          <w:ilvl w:val="0"/>
          <w:numId w:val="5"/>
        </w:numPr>
        <w:tabs>
          <w:tab w:val="left" w:pos="142"/>
        </w:tabs>
        <w:overflowPunct w:val="0"/>
        <w:autoSpaceDE w:val="0"/>
        <w:autoSpaceDN w:val="0"/>
        <w:adjustRightInd w:val="0"/>
        <w:ind w:left="142" w:right="51" w:hanging="142"/>
        <w:jc w:val="both"/>
        <w:textAlignment w:val="baseline"/>
        <w:rPr>
          <w:rFonts w:ascii="Arial" w:hAnsi="Arial" w:cs="Arial"/>
          <w:sz w:val="20"/>
          <w:szCs w:val="20"/>
        </w:rPr>
      </w:pPr>
      <w:r w:rsidRPr="00FC464B">
        <w:rPr>
          <w:rFonts w:ascii="Arial" w:hAnsi="Arial" w:cs="Arial"/>
          <w:sz w:val="20"/>
          <w:szCs w:val="20"/>
        </w:rPr>
        <w:t xml:space="preserve">Torres-Bugarín O, </w:t>
      </w:r>
      <w:r w:rsidR="00F467AF" w:rsidRPr="00FC464B">
        <w:rPr>
          <w:rFonts w:ascii="Arial" w:hAnsi="Arial" w:cs="Arial"/>
          <w:i/>
          <w:sz w:val="20"/>
          <w:szCs w:val="20"/>
        </w:rPr>
        <w:t>et al.,</w:t>
      </w:r>
      <w:r w:rsidRPr="00FC464B">
        <w:rPr>
          <w:rFonts w:ascii="Arial" w:hAnsi="Arial" w:cs="Arial"/>
          <w:sz w:val="20"/>
          <w:szCs w:val="20"/>
        </w:rPr>
        <w:t xml:space="preserve"> </w:t>
      </w:r>
      <w:proofErr w:type="spellStart"/>
      <w:r w:rsidRPr="00FC464B">
        <w:rPr>
          <w:rFonts w:ascii="Arial" w:hAnsi="Arial" w:cs="Arial"/>
          <w:sz w:val="20"/>
          <w:szCs w:val="20"/>
        </w:rPr>
        <w:t>Eritrocitos</w:t>
      </w:r>
      <w:proofErr w:type="spellEnd"/>
      <w:r w:rsidRPr="00FC464B">
        <w:rPr>
          <w:rFonts w:ascii="Arial" w:hAnsi="Arial" w:cs="Arial"/>
          <w:sz w:val="20"/>
          <w:szCs w:val="20"/>
        </w:rPr>
        <w:t xml:space="preserve"> </w:t>
      </w:r>
      <w:proofErr w:type="spellStart"/>
      <w:r w:rsidRPr="00FC464B">
        <w:rPr>
          <w:rFonts w:ascii="Arial" w:hAnsi="Arial" w:cs="Arial"/>
          <w:sz w:val="20"/>
          <w:szCs w:val="20"/>
        </w:rPr>
        <w:t>micronucleados</w:t>
      </w:r>
      <w:proofErr w:type="spellEnd"/>
      <w:r w:rsidRPr="00FC464B">
        <w:rPr>
          <w:rFonts w:ascii="Arial" w:hAnsi="Arial" w:cs="Arial"/>
          <w:sz w:val="20"/>
          <w:szCs w:val="20"/>
        </w:rPr>
        <w:t xml:space="preserve"> en </w:t>
      </w:r>
      <w:proofErr w:type="spellStart"/>
      <w:r w:rsidRPr="00FC464B">
        <w:rPr>
          <w:rFonts w:ascii="Arial" w:hAnsi="Arial" w:cs="Arial"/>
          <w:sz w:val="20"/>
          <w:szCs w:val="20"/>
        </w:rPr>
        <w:t>niños</w:t>
      </w:r>
      <w:proofErr w:type="spellEnd"/>
      <w:r w:rsidRPr="00FC464B">
        <w:rPr>
          <w:rFonts w:ascii="Arial" w:hAnsi="Arial" w:cs="Arial"/>
          <w:sz w:val="20"/>
          <w:szCs w:val="20"/>
        </w:rPr>
        <w:t xml:space="preserve"> </w:t>
      </w:r>
      <w:proofErr w:type="spellStart"/>
      <w:r w:rsidRPr="00FC464B">
        <w:rPr>
          <w:rFonts w:ascii="Arial" w:hAnsi="Arial" w:cs="Arial"/>
          <w:sz w:val="20"/>
          <w:szCs w:val="20"/>
        </w:rPr>
        <w:t>esplenectomizados</w:t>
      </w:r>
      <w:proofErr w:type="spellEnd"/>
      <w:r w:rsidRPr="00FC464B">
        <w:rPr>
          <w:rFonts w:ascii="Arial" w:hAnsi="Arial" w:cs="Arial"/>
          <w:sz w:val="20"/>
          <w:szCs w:val="20"/>
        </w:rPr>
        <w:t xml:space="preserve"> con y sin </w:t>
      </w:r>
      <w:proofErr w:type="spellStart"/>
      <w:r w:rsidRPr="00FC464B">
        <w:rPr>
          <w:rFonts w:ascii="Arial" w:hAnsi="Arial" w:cs="Arial"/>
          <w:sz w:val="20"/>
          <w:szCs w:val="20"/>
        </w:rPr>
        <w:t>quimioterapia</w:t>
      </w:r>
      <w:proofErr w:type="spellEnd"/>
      <w:r w:rsidRPr="00FC464B">
        <w:rPr>
          <w:rFonts w:ascii="Arial" w:hAnsi="Arial" w:cs="Arial"/>
          <w:sz w:val="20"/>
          <w:szCs w:val="20"/>
        </w:rPr>
        <w:t xml:space="preserve">. Bol. Med. </w:t>
      </w:r>
      <w:proofErr w:type="spellStart"/>
      <w:r w:rsidRPr="00FC464B">
        <w:rPr>
          <w:rFonts w:ascii="Arial" w:hAnsi="Arial" w:cs="Arial"/>
          <w:sz w:val="20"/>
          <w:szCs w:val="20"/>
        </w:rPr>
        <w:t>Hosp</w:t>
      </w:r>
      <w:proofErr w:type="spellEnd"/>
      <w:r w:rsidR="00F467AF" w:rsidRPr="00FC464B">
        <w:rPr>
          <w:rFonts w:ascii="Arial" w:hAnsi="Arial" w:cs="Arial"/>
          <w:sz w:val="20"/>
          <w:szCs w:val="20"/>
        </w:rPr>
        <w:t xml:space="preserve"> </w:t>
      </w:r>
      <w:r w:rsidRPr="00FC464B">
        <w:rPr>
          <w:rFonts w:ascii="Arial" w:hAnsi="Arial" w:cs="Arial"/>
          <w:sz w:val="20"/>
          <w:szCs w:val="20"/>
        </w:rPr>
        <w:t>Infant</w:t>
      </w:r>
      <w:r w:rsidR="00F467AF" w:rsidRPr="00FC464B">
        <w:rPr>
          <w:rFonts w:ascii="Arial" w:hAnsi="Arial" w:cs="Arial"/>
          <w:sz w:val="20"/>
          <w:szCs w:val="20"/>
        </w:rPr>
        <w:t xml:space="preserve"> </w:t>
      </w:r>
      <w:r w:rsidRPr="00FC464B">
        <w:rPr>
          <w:rFonts w:ascii="Arial" w:hAnsi="Arial" w:cs="Arial"/>
          <w:sz w:val="20"/>
          <w:szCs w:val="20"/>
        </w:rPr>
        <w:t>Mex. 1999. 56</w:t>
      </w:r>
      <w:proofErr w:type="gramStart"/>
      <w:r w:rsidRPr="00FC464B">
        <w:rPr>
          <w:rFonts w:ascii="Arial" w:hAnsi="Arial" w:cs="Arial"/>
          <w:sz w:val="20"/>
          <w:szCs w:val="20"/>
        </w:rPr>
        <w:t>,4</w:t>
      </w:r>
      <w:proofErr w:type="gramEnd"/>
      <w:r w:rsidRPr="00FC464B">
        <w:rPr>
          <w:rFonts w:ascii="Arial" w:hAnsi="Arial" w:cs="Arial"/>
          <w:sz w:val="20"/>
          <w:szCs w:val="20"/>
        </w:rPr>
        <w:t>: 212-217.</w:t>
      </w:r>
    </w:p>
    <w:p w:rsidR="00CC3695" w:rsidRPr="00FC464B" w:rsidRDefault="00CC3695" w:rsidP="00C82D87">
      <w:pPr>
        <w:pStyle w:val="Sangra2detindependiente1"/>
        <w:widowControl/>
        <w:numPr>
          <w:ilvl w:val="0"/>
          <w:numId w:val="5"/>
        </w:numPr>
        <w:tabs>
          <w:tab w:val="left" w:pos="142"/>
        </w:tabs>
        <w:spacing w:line="240" w:lineRule="auto"/>
        <w:ind w:left="142" w:right="51" w:hanging="142"/>
        <w:rPr>
          <w:rFonts w:cs="Arial"/>
          <w:sz w:val="20"/>
        </w:rPr>
      </w:pPr>
      <w:r w:rsidRPr="00FC464B">
        <w:rPr>
          <w:rFonts w:cs="Arial"/>
          <w:sz w:val="20"/>
        </w:rPr>
        <w:t xml:space="preserve">Torres-Bugarín O., </w:t>
      </w:r>
      <w:r w:rsidR="00F467AF" w:rsidRPr="00FC464B">
        <w:rPr>
          <w:rFonts w:cs="Arial"/>
          <w:i/>
          <w:sz w:val="20"/>
        </w:rPr>
        <w:t>et al</w:t>
      </w:r>
      <w:r w:rsidR="00F467AF" w:rsidRPr="00FC464B">
        <w:rPr>
          <w:rFonts w:cs="Arial"/>
          <w:sz w:val="20"/>
        </w:rPr>
        <w:t xml:space="preserve">., </w:t>
      </w:r>
      <w:r w:rsidRPr="00FC464B">
        <w:rPr>
          <w:rFonts w:cs="Arial"/>
          <w:sz w:val="20"/>
          <w:lang w:val="en-US"/>
        </w:rPr>
        <w:t xml:space="preserve">Anabolic androgenic steroids induce micronuclei in buccal mucosa cells of bodybuilders. </w:t>
      </w:r>
      <w:r w:rsidRPr="00FC464B">
        <w:rPr>
          <w:rFonts w:cs="Arial"/>
          <w:sz w:val="20"/>
        </w:rPr>
        <w:t xml:space="preserve">Br. J. </w:t>
      </w:r>
      <w:proofErr w:type="spellStart"/>
      <w:r w:rsidRPr="00FC464B">
        <w:rPr>
          <w:rFonts w:cs="Arial"/>
          <w:sz w:val="20"/>
        </w:rPr>
        <w:t>Sports</w:t>
      </w:r>
      <w:proofErr w:type="spellEnd"/>
      <w:r w:rsidRPr="00FC464B">
        <w:rPr>
          <w:rFonts w:cs="Arial"/>
          <w:sz w:val="20"/>
        </w:rPr>
        <w:t xml:space="preserve">. </w:t>
      </w:r>
      <w:proofErr w:type="spellStart"/>
      <w:r w:rsidRPr="00FC464B">
        <w:rPr>
          <w:rFonts w:cs="Arial"/>
          <w:sz w:val="20"/>
        </w:rPr>
        <w:t>Med</w:t>
      </w:r>
      <w:proofErr w:type="spellEnd"/>
      <w:r w:rsidRPr="00FC464B">
        <w:rPr>
          <w:rFonts w:cs="Arial"/>
          <w:sz w:val="20"/>
        </w:rPr>
        <w:t xml:space="preserve">. </w:t>
      </w:r>
      <w:r w:rsidR="00F467AF" w:rsidRPr="00FC464B">
        <w:rPr>
          <w:rFonts w:cs="Arial"/>
          <w:sz w:val="20"/>
        </w:rPr>
        <w:t xml:space="preserve">2007. </w:t>
      </w:r>
      <w:r w:rsidRPr="00FC464B">
        <w:rPr>
          <w:rFonts w:cs="Arial"/>
          <w:sz w:val="20"/>
        </w:rPr>
        <w:t>41, 592-596.</w:t>
      </w:r>
    </w:p>
    <w:p w:rsidR="00CC3695" w:rsidRPr="00FC464B" w:rsidRDefault="00CC3695" w:rsidP="00C82D87">
      <w:pPr>
        <w:pStyle w:val="Sangra2detindependiente1"/>
        <w:widowControl/>
        <w:numPr>
          <w:ilvl w:val="0"/>
          <w:numId w:val="5"/>
        </w:numPr>
        <w:tabs>
          <w:tab w:val="left" w:pos="142"/>
        </w:tabs>
        <w:spacing w:line="240" w:lineRule="auto"/>
        <w:ind w:left="142" w:right="51" w:hanging="142"/>
        <w:rPr>
          <w:rFonts w:cs="Arial"/>
          <w:sz w:val="20"/>
        </w:rPr>
      </w:pPr>
      <w:r w:rsidRPr="00FC464B">
        <w:rPr>
          <w:rFonts w:cs="Arial"/>
          <w:sz w:val="20"/>
        </w:rPr>
        <w:t xml:space="preserve">Olivia Torres-Bugarín, </w:t>
      </w:r>
      <w:r w:rsidR="00F467AF" w:rsidRPr="00FC464B">
        <w:rPr>
          <w:rFonts w:cs="Arial"/>
          <w:i/>
          <w:sz w:val="20"/>
        </w:rPr>
        <w:t>et al</w:t>
      </w:r>
      <w:r w:rsidR="00F467AF" w:rsidRPr="00FC464B">
        <w:rPr>
          <w:rFonts w:cs="Arial"/>
          <w:sz w:val="20"/>
        </w:rPr>
        <w:t xml:space="preserve">., </w:t>
      </w:r>
      <w:r w:rsidRPr="00FC464B">
        <w:rPr>
          <w:rFonts w:cs="Arial"/>
          <w:sz w:val="20"/>
          <w:lang w:val="en-US"/>
        </w:rPr>
        <w:t xml:space="preserve">Potential uses, limitations and basic procedures of Micronuclei and nuclear abnormalities in buccal cells. </w:t>
      </w:r>
      <w:proofErr w:type="spellStart"/>
      <w:r w:rsidRPr="00FC464B">
        <w:rPr>
          <w:rFonts w:cs="Arial"/>
          <w:sz w:val="20"/>
        </w:rPr>
        <w:t>Disease</w:t>
      </w:r>
      <w:proofErr w:type="spellEnd"/>
      <w:r w:rsidRPr="00FC464B">
        <w:rPr>
          <w:rFonts w:cs="Arial"/>
          <w:sz w:val="20"/>
        </w:rPr>
        <w:t xml:space="preserve"> </w:t>
      </w:r>
      <w:proofErr w:type="spellStart"/>
      <w:r w:rsidRPr="00FC464B">
        <w:rPr>
          <w:rFonts w:cs="Arial"/>
          <w:sz w:val="20"/>
        </w:rPr>
        <w:t>Markers</w:t>
      </w:r>
      <w:proofErr w:type="spellEnd"/>
      <w:r w:rsidRPr="00FC464B">
        <w:rPr>
          <w:rFonts w:cs="Arial"/>
          <w:sz w:val="20"/>
        </w:rPr>
        <w:t xml:space="preserve">. 2014; 2014:956835. </w:t>
      </w:r>
      <w:proofErr w:type="spellStart"/>
      <w:r w:rsidRPr="00FC464B">
        <w:rPr>
          <w:rFonts w:cs="Arial"/>
          <w:sz w:val="20"/>
        </w:rPr>
        <w:t>Epub</w:t>
      </w:r>
      <w:proofErr w:type="spellEnd"/>
      <w:r w:rsidRPr="00FC464B">
        <w:rPr>
          <w:rFonts w:cs="Arial"/>
          <w:sz w:val="20"/>
        </w:rPr>
        <w:t xml:space="preserve"> 2014 Feb 4</w:t>
      </w:r>
      <w:r w:rsidR="00901F6F" w:rsidRPr="00FC464B">
        <w:rPr>
          <w:rFonts w:cs="Arial"/>
          <w:sz w:val="20"/>
        </w:rPr>
        <w:t>.</w:t>
      </w:r>
    </w:p>
    <w:p w:rsidR="00CC3695" w:rsidRPr="00FC464B" w:rsidRDefault="00CC3695" w:rsidP="00C82D87">
      <w:pPr>
        <w:pStyle w:val="Sangra2detindependiente1"/>
        <w:widowControl/>
        <w:numPr>
          <w:ilvl w:val="0"/>
          <w:numId w:val="5"/>
        </w:numPr>
        <w:tabs>
          <w:tab w:val="left" w:pos="142"/>
        </w:tabs>
        <w:spacing w:line="240" w:lineRule="auto"/>
        <w:ind w:left="142" w:right="51" w:hanging="142"/>
        <w:rPr>
          <w:rFonts w:cs="Arial"/>
          <w:sz w:val="20"/>
        </w:rPr>
      </w:pPr>
      <w:proofErr w:type="spellStart"/>
      <w:r w:rsidRPr="00FC464B">
        <w:rPr>
          <w:rFonts w:cs="Arial"/>
          <w:sz w:val="20"/>
          <w:lang w:val="en-US"/>
        </w:rPr>
        <w:t>Udroiu</w:t>
      </w:r>
      <w:proofErr w:type="spellEnd"/>
      <w:r w:rsidRPr="00FC464B">
        <w:rPr>
          <w:rFonts w:cs="Arial"/>
          <w:sz w:val="20"/>
          <w:lang w:val="en-US"/>
        </w:rPr>
        <w:t xml:space="preserve"> I.</w:t>
      </w:r>
      <w:r w:rsidR="00F467AF" w:rsidRPr="00FC464B">
        <w:rPr>
          <w:rFonts w:cs="Arial"/>
          <w:sz w:val="20"/>
          <w:lang w:val="en-US"/>
        </w:rPr>
        <w:t xml:space="preserve"> </w:t>
      </w:r>
      <w:r w:rsidRPr="00FC464B">
        <w:rPr>
          <w:rFonts w:cs="Arial"/>
          <w:sz w:val="20"/>
          <w:lang w:val="en-US"/>
        </w:rPr>
        <w:t xml:space="preserve">The micronucleus test in piscine erythrocytes. </w:t>
      </w:r>
      <w:proofErr w:type="spellStart"/>
      <w:r w:rsidRPr="00FC464B">
        <w:rPr>
          <w:rFonts w:cs="Arial"/>
          <w:sz w:val="20"/>
        </w:rPr>
        <w:t>Review</w:t>
      </w:r>
      <w:proofErr w:type="spellEnd"/>
      <w:r w:rsidRPr="00FC464B">
        <w:rPr>
          <w:rFonts w:cs="Arial"/>
          <w:sz w:val="20"/>
        </w:rPr>
        <w:t xml:space="preserve"> </w:t>
      </w:r>
      <w:proofErr w:type="spellStart"/>
      <w:r w:rsidRPr="00FC464B">
        <w:rPr>
          <w:rFonts w:cs="Arial"/>
          <w:sz w:val="20"/>
        </w:rPr>
        <w:t>AquaticToxicology</w:t>
      </w:r>
      <w:proofErr w:type="spellEnd"/>
      <w:r w:rsidRPr="00FC464B">
        <w:rPr>
          <w:rFonts w:cs="Arial"/>
          <w:sz w:val="20"/>
        </w:rPr>
        <w:t>.</w:t>
      </w:r>
      <w:r w:rsidR="00F467AF" w:rsidRPr="00FC464B">
        <w:rPr>
          <w:rFonts w:cs="Arial"/>
          <w:sz w:val="20"/>
        </w:rPr>
        <w:t xml:space="preserve"> </w:t>
      </w:r>
      <w:r w:rsidR="00F467AF" w:rsidRPr="00FC464B">
        <w:rPr>
          <w:rFonts w:cs="Arial"/>
          <w:sz w:val="20"/>
          <w:lang w:val="en-US"/>
        </w:rPr>
        <w:t xml:space="preserve">2006; </w:t>
      </w:r>
      <w:r w:rsidRPr="00FC464B">
        <w:rPr>
          <w:rFonts w:cs="Arial"/>
          <w:sz w:val="20"/>
        </w:rPr>
        <w:t>79: 201–204.</w:t>
      </w:r>
    </w:p>
    <w:p w:rsidR="0073400D" w:rsidRPr="00FC464B" w:rsidRDefault="00CC3695" w:rsidP="0073400D">
      <w:pPr>
        <w:pStyle w:val="Sangra2detindependiente1"/>
        <w:widowControl/>
        <w:numPr>
          <w:ilvl w:val="0"/>
          <w:numId w:val="5"/>
        </w:numPr>
        <w:tabs>
          <w:tab w:val="left" w:pos="142"/>
        </w:tabs>
        <w:spacing w:line="240" w:lineRule="auto"/>
        <w:ind w:left="142" w:right="51" w:hanging="142"/>
        <w:rPr>
          <w:rFonts w:cs="Arial"/>
          <w:sz w:val="20"/>
          <w:lang w:val="en-US"/>
        </w:rPr>
      </w:pPr>
      <w:r w:rsidRPr="00FC464B">
        <w:rPr>
          <w:rFonts w:cs="Arial"/>
          <w:sz w:val="20"/>
        </w:rPr>
        <w:t xml:space="preserve"> Zamora-</w:t>
      </w:r>
      <w:proofErr w:type="spellStart"/>
      <w:r w:rsidRPr="00FC464B">
        <w:rPr>
          <w:rFonts w:cs="Arial"/>
          <w:sz w:val="20"/>
        </w:rPr>
        <w:t>Perez</w:t>
      </w:r>
      <w:proofErr w:type="spellEnd"/>
      <w:r w:rsidR="00F467AF" w:rsidRPr="00FC464B">
        <w:rPr>
          <w:rFonts w:cs="Arial"/>
          <w:sz w:val="20"/>
        </w:rPr>
        <w:t xml:space="preserve"> AL</w:t>
      </w:r>
      <w:r w:rsidRPr="00FC464B">
        <w:rPr>
          <w:rFonts w:cs="Arial"/>
          <w:sz w:val="20"/>
        </w:rPr>
        <w:t xml:space="preserve">, </w:t>
      </w:r>
      <w:r w:rsidR="00F467AF" w:rsidRPr="00FC464B">
        <w:rPr>
          <w:rFonts w:cs="Arial"/>
          <w:i/>
          <w:sz w:val="20"/>
        </w:rPr>
        <w:t>et al</w:t>
      </w:r>
      <w:r w:rsidR="00F467AF" w:rsidRPr="00FC464B">
        <w:rPr>
          <w:rFonts w:cs="Arial"/>
          <w:sz w:val="20"/>
        </w:rPr>
        <w:t>.,</w:t>
      </w:r>
      <w:r w:rsidR="00C03DDA" w:rsidRPr="00FC464B">
        <w:rPr>
          <w:rFonts w:cs="Arial"/>
          <w:sz w:val="20"/>
        </w:rPr>
        <w:t xml:space="preserve"> </w:t>
      </w:r>
      <w:r w:rsidRPr="00FC464B">
        <w:rPr>
          <w:rFonts w:cs="Arial"/>
          <w:sz w:val="20"/>
          <w:lang w:val="en-US"/>
        </w:rPr>
        <w:t xml:space="preserve">Induction of </w:t>
      </w:r>
      <w:proofErr w:type="spellStart"/>
      <w:r w:rsidRPr="00FC464B">
        <w:rPr>
          <w:rFonts w:cs="Arial"/>
          <w:sz w:val="20"/>
          <w:lang w:val="en-US"/>
        </w:rPr>
        <w:t>Micronucleated</w:t>
      </w:r>
      <w:proofErr w:type="spellEnd"/>
      <w:r w:rsidRPr="00FC464B">
        <w:rPr>
          <w:rFonts w:cs="Arial"/>
          <w:sz w:val="20"/>
          <w:lang w:val="en-US"/>
        </w:rPr>
        <w:t xml:space="preserve"> Cells in the Shed Skin of Salamanders (</w:t>
      </w:r>
      <w:proofErr w:type="spellStart"/>
      <w:r w:rsidRPr="00FC464B">
        <w:rPr>
          <w:rFonts w:cs="Arial"/>
          <w:sz w:val="20"/>
          <w:lang w:val="en-US"/>
        </w:rPr>
        <w:t>Ambystoma</w:t>
      </w:r>
      <w:proofErr w:type="spellEnd"/>
      <w:r w:rsidRPr="00FC464B">
        <w:rPr>
          <w:rFonts w:cs="Arial"/>
          <w:sz w:val="20"/>
          <w:lang w:val="en-US"/>
        </w:rPr>
        <w:t xml:space="preserve"> sp.) Treated With Colchicine or Cyclophosphamide. Environ </w:t>
      </w:r>
      <w:proofErr w:type="spellStart"/>
      <w:r w:rsidRPr="00FC464B">
        <w:rPr>
          <w:rFonts w:cs="Arial"/>
          <w:sz w:val="20"/>
          <w:lang w:val="en-US"/>
        </w:rPr>
        <w:t>Mol</w:t>
      </w:r>
      <w:proofErr w:type="spellEnd"/>
      <w:r w:rsidRPr="00FC464B">
        <w:rPr>
          <w:rFonts w:cs="Arial"/>
          <w:sz w:val="20"/>
          <w:lang w:val="en-US"/>
        </w:rPr>
        <w:t xml:space="preserve"> Mutagen.</w:t>
      </w:r>
      <w:r w:rsidR="00F467AF" w:rsidRPr="00FC464B">
        <w:rPr>
          <w:rFonts w:cs="Arial"/>
          <w:sz w:val="20"/>
          <w:lang w:val="en-US"/>
        </w:rPr>
        <w:t xml:space="preserve"> 2004; </w:t>
      </w:r>
      <w:r w:rsidRPr="00FC464B">
        <w:rPr>
          <w:rFonts w:cs="Arial"/>
          <w:sz w:val="20"/>
          <w:lang w:val="en-US"/>
        </w:rPr>
        <w:t xml:space="preserve">44: 436–440.  </w:t>
      </w:r>
    </w:p>
    <w:p w:rsidR="00CC3695" w:rsidRPr="00FC464B" w:rsidRDefault="00CC3695" w:rsidP="00C82D87">
      <w:pPr>
        <w:pStyle w:val="Prrafodelista"/>
        <w:widowControl w:val="0"/>
        <w:numPr>
          <w:ilvl w:val="0"/>
          <w:numId w:val="5"/>
        </w:numPr>
        <w:tabs>
          <w:tab w:val="left" w:pos="142"/>
        </w:tabs>
        <w:overflowPunct w:val="0"/>
        <w:autoSpaceDE w:val="0"/>
        <w:autoSpaceDN w:val="0"/>
        <w:adjustRightInd w:val="0"/>
        <w:spacing w:after="0" w:line="240" w:lineRule="auto"/>
        <w:ind w:left="142" w:hanging="142"/>
        <w:jc w:val="both"/>
        <w:textAlignment w:val="baseline"/>
        <w:rPr>
          <w:rFonts w:ascii="Arial" w:hAnsi="Arial" w:cs="Arial"/>
          <w:sz w:val="20"/>
          <w:szCs w:val="20"/>
        </w:rPr>
      </w:pPr>
      <w:r w:rsidRPr="00FC464B">
        <w:rPr>
          <w:rFonts w:ascii="Arial" w:hAnsi="Arial" w:cs="Arial"/>
          <w:sz w:val="20"/>
          <w:szCs w:val="20"/>
        </w:rPr>
        <w:t xml:space="preserve">Zúñiga-González G., </w:t>
      </w:r>
      <w:r w:rsidR="00F467AF" w:rsidRPr="00FC464B">
        <w:rPr>
          <w:rFonts w:ascii="Arial" w:hAnsi="Arial" w:cs="Arial"/>
          <w:sz w:val="20"/>
          <w:szCs w:val="20"/>
        </w:rPr>
        <w:t xml:space="preserve">et al., </w:t>
      </w:r>
      <w:r w:rsidRPr="00FC464B">
        <w:rPr>
          <w:rFonts w:ascii="Arial" w:hAnsi="Arial" w:cs="Arial"/>
          <w:sz w:val="20"/>
          <w:szCs w:val="20"/>
          <w:lang w:val="en-US"/>
        </w:rPr>
        <w:t xml:space="preserve">Spontaneous micronuclei in peripheral blood erythrocytes from 54 animal species (mammals, reptiles and birds): Part two. </w:t>
      </w:r>
      <w:proofErr w:type="spellStart"/>
      <w:r w:rsidRPr="00FC464B">
        <w:rPr>
          <w:rFonts w:ascii="Arial" w:hAnsi="Arial" w:cs="Arial"/>
          <w:sz w:val="20"/>
          <w:szCs w:val="20"/>
        </w:rPr>
        <w:t>Mutat</w:t>
      </w:r>
      <w:proofErr w:type="spellEnd"/>
      <w:r w:rsidRPr="00FC464B">
        <w:rPr>
          <w:rFonts w:ascii="Arial" w:hAnsi="Arial" w:cs="Arial"/>
          <w:sz w:val="20"/>
          <w:szCs w:val="20"/>
        </w:rPr>
        <w:t>. Res.</w:t>
      </w:r>
      <w:r w:rsidR="00F467AF" w:rsidRPr="00FC464B">
        <w:rPr>
          <w:rFonts w:ascii="Arial" w:hAnsi="Arial" w:cs="Arial"/>
          <w:sz w:val="20"/>
          <w:szCs w:val="20"/>
        </w:rPr>
        <w:t xml:space="preserve"> 2000;</w:t>
      </w:r>
      <w:r w:rsidRPr="00FC464B">
        <w:rPr>
          <w:rFonts w:ascii="Arial" w:hAnsi="Arial" w:cs="Arial"/>
          <w:sz w:val="20"/>
          <w:szCs w:val="20"/>
        </w:rPr>
        <w:t xml:space="preserve"> 467, 99-103.</w:t>
      </w:r>
    </w:p>
    <w:p w:rsidR="0073400D" w:rsidRPr="00FC464B" w:rsidRDefault="00CC3695" w:rsidP="0073400D">
      <w:pPr>
        <w:pStyle w:val="Prrafodelista"/>
        <w:widowControl w:val="0"/>
        <w:numPr>
          <w:ilvl w:val="0"/>
          <w:numId w:val="5"/>
        </w:numPr>
        <w:tabs>
          <w:tab w:val="left" w:pos="142"/>
        </w:tabs>
        <w:overflowPunct w:val="0"/>
        <w:autoSpaceDE w:val="0"/>
        <w:autoSpaceDN w:val="0"/>
        <w:adjustRightInd w:val="0"/>
        <w:spacing w:after="0" w:line="240" w:lineRule="auto"/>
        <w:ind w:left="142" w:hanging="142"/>
        <w:jc w:val="both"/>
        <w:textAlignment w:val="baseline"/>
        <w:rPr>
          <w:rFonts w:ascii="Arial" w:hAnsi="Arial" w:cs="Arial"/>
          <w:sz w:val="20"/>
          <w:szCs w:val="20"/>
        </w:rPr>
      </w:pPr>
      <w:r w:rsidRPr="00FC464B">
        <w:rPr>
          <w:rFonts w:ascii="Arial" w:hAnsi="Arial" w:cs="Arial"/>
          <w:sz w:val="20"/>
          <w:szCs w:val="20"/>
        </w:rPr>
        <w:t xml:space="preserve">Zúñiga-González G., </w:t>
      </w:r>
      <w:r w:rsidR="00F467AF" w:rsidRPr="00FC464B">
        <w:rPr>
          <w:rFonts w:ascii="Arial" w:hAnsi="Arial" w:cs="Arial"/>
          <w:i/>
          <w:sz w:val="20"/>
          <w:szCs w:val="20"/>
        </w:rPr>
        <w:t>et al.,</w:t>
      </w:r>
      <w:r w:rsidR="00F467AF" w:rsidRPr="00FC464B">
        <w:rPr>
          <w:rFonts w:ascii="Arial" w:hAnsi="Arial" w:cs="Arial"/>
          <w:sz w:val="20"/>
          <w:szCs w:val="20"/>
        </w:rPr>
        <w:t xml:space="preserve"> </w:t>
      </w:r>
      <w:r w:rsidRPr="00FC464B">
        <w:rPr>
          <w:rFonts w:ascii="Arial" w:hAnsi="Arial" w:cs="Arial"/>
          <w:sz w:val="20"/>
          <w:szCs w:val="20"/>
          <w:lang w:val="en-US"/>
        </w:rPr>
        <w:t xml:space="preserve">Differences in the number of </w:t>
      </w:r>
      <w:proofErr w:type="spellStart"/>
      <w:r w:rsidRPr="00FC464B">
        <w:rPr>
          <w:rFonts w:ascii="Arial" w:hAnsi="Arial" w:cs="Arial"/>
          <w:sz w:val="20"/>
          <w:szCs w:val="20"/>
          <w:lang w:val="en-US"/>
        </w:rPr>
        <w:t>micronucleated</w:t>
      </w:r>
      <w:proofErr w:type="spellEnd"/>
      <w:r w:rsidRPr="00FC464B">
        <w:rPr>
          <w:rFonts w:ascii="Arial" w:hAnsi="Arial" w:cs="Arial"/>
          <w:sz w:val="20"/>
          <w:szCs w:val="20"/>
          <w:lang w:val="en-US"/>
        </w:rPr>
        <w:t xml:space="preserve"> erythrocytes among young and adult animals including humans Spontaneous micronuclei in 43 species. </w:t>
      </w:r>
      <w:proofErr w:type="spellStart"/>
      <w:r w:rsidRPr="00FC464B">
        <w:rPr>
          <w:rFonts w:ascii="Arial" w:hAnsi="Arial" w:cs="Arial"/>
          <w:sz w:val="20"/>
          <w:szCs w:val="20"/>
        </w:rPr>
        <w:t>Mutat</w:t>
      </w:r>
      <w:proofErr w:type="spellEnd"/>
      <w:r w:rsidRPr="00FC464B">
        <w:rPr>
          <w:rFonts w:ascii="Arial" w:hAnsi="Arial" w:cs="Arial"/>
          <w:sz w:val="20"/>
          <w:szCs w:val="20"/>
        </w:rPr>
        <w:t xml:space="preserve"> Res</w:t>
      </w:r>
      <w:r w:rsidR="00F467AF" w:rsidRPr="00FC464B">
        <w:rPr>
          <w:rFonts w:ascii="Arial" w:hAnsi="Arial" w:cs="Arial"/>
          <w:sz w:val="20"/>
          <w:szCs w:val="20"/>
        </w:rPr>
        <w:t>.</w:t>
      </w:r>
      <w:r w:rsidRPr="00FC464B">
        <w:rPr>
          <w:rFonts w:ascii="Arial" w:hAnsi="Arial" w:cs="Arial"/>
          <w:sz w:val="20"/>
          <w:szCs w:val="20"/>
        </w:rPr>
        <w:t xml:space="preserve"> </w:t>
      </w:r>
      <w:r w:rsidR="00F467AF" w:rsidRPr="00FC464B">
        <w:rPr>
          <w:rFonts w:ascii="Arial" w:hAnsi="Arial" w:cs="Arial"/>
          <w:sz w:val="20"/>
          <w:szCs w:val="20"/>
        </w:rPr>
        <w:t xml:space="preserve">2001; </w:t>
      </w:r>
      <w:r w:rsidRPr="00FC464B">
        <w:rPr>
          <w:rFonts w:ascii="Arial" w:hAnsi="Arial" w:cs="Arial"/>
          <w:sz w:val="20"/>
          <w:szCs w:val="20"/>
        </w:rPr>
        <w:t>494, 161-167.</w:t>
      </w:r>
    </w:p>
    <w:p w:rsidR="00CC3695" w:rsidRPr="00FC464B" w:rsidRDefault="00CC3695" w:rsidP="00C82D87">
      <w:pPr>
        <w:pStyle w:val="Prrafodelista"/>
        <w:widowControl w:val="0"/>
        <w:numPr>
          <w:ilvl w:val="0"/>
          <w:numId w:val="5"/>
        </w:numPr>
        <w:tabs>
          <w:tab w:val="left" w:pos="142"/>
        </w:tabs>
        <w:overflowPunct w:val="0"/>
        <w:autoSpaceDE w:val="0"/>
        <w:autoSpaceDN w:val="0"/>
        <w:adjustRightInd w:val="0"/>
        <w:spacing w:after="0" w:line="240" w:lineRule="auto"/>
        <w:ind w:left="142" w:hanging="142"/>
        <w:jc w:val="both"/>
        <w:textAlignment w:val="baseline"/>
        <w:rPr>
          <w:rFonts w:ascii="Arial" w:hAnsi="Arial" w:cs="Arial"/>
          <w:sz w:val="20"/>
          <w:szCs w:val="20"/>
        </w:rPr>
      </w:pPr>
      <w:r w:rsidRPr="00FC464B">
        <w:rPr>
          <w:rFonts w:ascii="Arial" w:hAnsi="Arial" w:cs="Arial"/>
          <w:sz w:val="20"/>
          <w:szCs w:val="20"/>
        </w:rPr>
        <w:t>Zúñiga-González</w:t>
      </w:r>
      <w:r w:rsidR="00F467AF" w:rsidRPr="00FC464B">
        <w:rPr>
          <w:rFonts w:ascii="Arial" w:hAnsi="Arial" w:cs="Arial"/>
          <w:sz w:val="20"/>
          <w:szCs w:val="20"/>
        </w:rPr>
        <w:t xml:space="preserve"> G</w:t>
      </w:r>
      <w:r w:rsidRPr="00FC464B">
        <w:rPr>
          <w:rFonts w:ascii="Arial" w:hAnsi="Arial" w:cs="Arial"/>
          <w:sz w:val="20"/>
          <w:szCs w:val="20"/>
        </w:rPr>
        <w:t xml:space="preserve">, </w:t>
      </w:r>
      <w:r w:rsidR="00F467AF" w:rsidRPr="00FC464B">
        <w:rPr>
          <w:rFonts w:ascii="Arial" w:hAnsi="Arial" w:cs="Arial"/>
          <w:i/>
          <w:sz w:val="20"/>
          <w:szCs w:val="20"/>
        </w:rPr>
        <w:t>et al.</w:t>
      </w:r>
      <w:r w:rsidR="00F467AF" w:rsidRPr="00FC464B">
        <w:rPr>
          <w:rFonts w:ascii="Arial" w:hAnsi="Arial" w:cs="Arial"/>
          <w:sz w:val="20"/>
          <w:szCs w:val="20"/>
        </w:rPr>
        <w:t xml:space="preserve">, </w:t>
      </w:r>
      <w:r w:rsidRPr="00FC464B">
        <w:rPr>
          <w:rFonts w:ascii="Arial" w:hAnsi="Arial" w:cs="Arial"/>
          <w:sz w:val="20"/>
          <w:szCs w:val="20"/>
          <w:lang w:val="en-US"/>
        </w:rPr>
        <w:t xml:space="preserve">Induction of micronuclei in </w:t>
      </w:r>
      <w:proofErr w:type="spellStart"/>
      <w:r w:rsidRPr="00FC464B">
        <w:rPr>
          <w:rFonts w:ascii="Arial" w:hAnsi="Arial" w:cs="Arial"/>
          <w:sz w:val="20"/>
          <w:szCs w:val="20"/>
          <w:lang w:val="en-US"/>
        </w:rPr>
        <w:t>proestrus</w:t>
      </w:r>
      <w:proofErr w:type="spellEnd"/>
      <w:r w:rsidRPr="00FC464B">
        <w:rPr>
          <w:rFonts w:ascii="Arial" w:hAnsi="Arial" w:cs="Arial"/>
          <w:sz w:val="20"/>
          <w:szCs w:val="20"/>
          <w:lang w:val="en-US"/>
        </w:rPr>
        <w:t xml:space="preserve"> vaginal cells from colchicine- and cyclophosphamide-treated rats Environ </w:t>
      </w:r>
      <w:proofErr w:type="spellStart"/>
      <w:r w:rsidRPr="00FC464B">
        <w:rPr>
          <w:rFonts w:ascii="Arial" w:hAnsi="Arial" w:cs="Arial"/>
          <w:sz w:val="20"/>
          <w:szCs w:val="20"/>
          <w:lang w:val="en-US"/>
        </w:rPr>
        <w:t>Mol</w:t>
      </w:r>
      <w:proofErr w:type="spellEnd"/>
      <w:r w:rsidRPr="00FC464B">
        <w:rPr>
          <w:rFonts w:ascii="Arial" w:hAnsi="Arial" w:cs="Arial"/>
          <w:sz w:val="20"/>
          <w:szCs w:val="20"/>
          <w:lang w:val="en-US"/>
        </w:rPr>
        <w:t xml:space="preserve"> Mutagen. </w:t>
      </w:r>
      <w:r w:rsidRPr="00FC464B">
        <w:rPr>
          <w:rFonts w:ascii="Arial" w:hAnsi="Arial" w:cs="Arial"/>
          <w:sz w:val="20"/>
          <w:szCs w:val="20"/>
        </w:rPr>
        <w:t>2003; 42(4):306-310.</w:t>
      </w:r>
    </w:p>
    <w:p w:rsidR="00CC3695" w:rsidRPr="00FC464B" w:rsidRDefault="00CC3695" w:rsidP="00C82D87">
      <w:pPr>
        <w:pStyle w:val="Prrafodelista"/>
        <w:widowControl w:val="0"/>
        <w:numPr>
          <w:ilvl w:val="0"/>
          <w:numId w:val="5"/>
        </w:numPr>
        <w:tabs>
          <w:tab w:val="left" w:pos="142"/>
        </w:tabs>
        <w:overflowPunct w:val="0"/>
        <w:autoSpaceDE w:val="0"/>
        <w:autoSpaceDN w:val="0"/>
        <w:adjustRightInd w:val="0"/>
        <w:spacing w:after="0" w:line="240" w:lineRule="auto"/>
        <w:ind w:left="142" w:hanging="142"/>
        <w:jc w:val="both"/>
        <w:textAlignment w:val="baseline"/>
        <w:rPr>
          <w:rFonts w:ascii="Arial" w:hAnsi="Arial" w:cs="Arial"/>
          <w:sz w:val="20"/>
          <w:szCs w:val="20"/>
        </w:rPr>
      </w:pPr>
      <w:r w:rsidRPr="00FC464B">
        <w:rPr>
          <w:rFonts w:ascii="Arial" w:hAnsi="Arial" w:cs="Arial"/>
          <w:sz w:val="20"/>
          <w:szCs w:val="20"/>
        </w:rPr>
        <w:t>Zúñiga-González GM,</w:t>
      </w:r>
      <w:r w:rsidR="00F467AF" w:rsidRPr="00FC464B">
        <w:rPr>
          <w:rFonts w:ascii="Arial" w:hAnsi="Arial" w:cs="Arial"/>
          <w:sz w:val="20"/>
          <w:szCs w:val="20"/>
        </w:rPr>
        <w:t xml:space="preserve"> </w:t>
      </w:r>
      <w:r w:rsidR="00F467AF" w:rsidRPr="00FC464B">
        <w:rPr>
          <w:rFonts w:ascii="Arial" w:hAnsi="Arial" w:cs="Arial"/>
          <w:i/>
          <w:sz w:val="20"/>
          <w:szCs w:val="20"/>
        </w:rPr>
        <w:t>et al</w:t>
      </w:r>
      <w:r w:rsidR="00F467AF" w:rsidRPr="00FC464B">
        <w:rPr>
          <w:rFonts w:ascii="Arial" w:hAnsi="Arial" w:cs="Arial"/>
          <w:sz w:val="20"/>
          <w:szCs w:val="20"/>
        </w:rPr>
        <w:t xml:space="preserve">., </w:t>
      </w:r>
      <w:proofErr w:type="spellStart"/>
      <w:r w:rsidRPr="00FC464B">
        <w:rPr>
          <w:rFonts w:ascii="Arial" w:hAnsi="Arial" w:cs="Arial"/>
          <w:sz w:val="20"/>
          <w:szCs w:val="20"/>
        </w:rPr>
        <w:t>Induction</w:t>
      </w:r>
      <w:proofErr w:type="spellEnd"/>
      <w:r w:rsidRPr="00FC464B">
        <w:rPr>
          <w:rFonts w:ascii="Arial" w:hAnsi="Arial" w:cs="Arial"/>
          <w:sz w:val="20"/>
          <w:szCs w:val="20"/>
        </w:rPr>
        <w:t xml:space="preserve"> of </w:t>
      </w:r>
      <w:proofErr w:type="spellStart"/>
      <w:r w:rsidRPr="00FC464B">
        <w:rPr>
          <w:rFonts w:ascii="Arial" w:hAnsi="Arial" w:cs="Arial"/>
          <w:sz w:val="20"/>
          <w:szCs w:val="20"/>
        </w:rPr>
        <w:t>micronucleatederythrocytes</w:t>
      </w:r>
      <w:proofErr w:type="spellEnd"/>
      <w:r w:rsidRPr="00FC464B">
        <w:rPr>
          <w:rFonts w:ascii="Arial" w:hAnsi="Arial" w:cs="Arial"/>
          <w:sz w:val="20"/>
          <w:szCs w:val="20"/>
        </w:rPr>
        <w:t xml:space="preserve"> in mouse </w:t>
      </w:r>
      <w:proofErr w:type="spellStart"/>
      <w:r w:rsidRPr="00FC464B">
        <w:rPr>
          <w:rFonts w:ascii="Arial" w:hAnsi="Arial" w:cs="Arial"/>
          <w:sz w:val="20"/>
          <w:szCs w:val="20"/>
        </w:rPr>
        <w:t>peripheralbloodaftercutaneousapplication</w:t>
      </w:r>
      <w:proofErr w:type="spellEnd"/>
      <w:r w:rsidRPr="00FC464B">
        <w:rPr>
          <w:rFonts w:ascii="Arial" w:hAnsi="Arial" w:cs="Arial"/>
          <w:sz w:val="20"/>
          <w:szCs w:val="20"/>
        </w:rPr>
        <w:t xml:space="preserve"> of 5-fluorouracil. </w:t>
      </w:r>
      <w:proofErr w:type="spellStart"/>
      <w:r w:rsidRPr="00FC464B">
        <w:rPr>
          <w:rFonts w:ascii="Arial" w:hAnsi="Arial" w:cs="Arial"/>
          <w:sz w:val="20"/>
          <w:szCs w:val="20"/>
        </w:rPr>
        <w:t>ArchMed</w:t>
      </w:r>
      <w:proofErr w:type="spellEnd"/>
      <w:r w:rsidRPr="00FC464B">
        <w:rPr>
          <w:rFonts w:ascii="Arial" w:hAnsi="Arial" w:cs="Arial"/>
          <w:sz w:val="20"/>
          <w:szCs w:val="20"/>
        </w:rPr>
        <w:t xml:space="preserve"> Res. 2003</w:t>
      </w:r>
      <w:r w:rsidR="00F467AF" w:rsidRPr="00FC464B">
        <w:rPr>
          <w:rFonts w:ascii="Arial" w:hAnsi="Arial" w:cs="Arial"/>
          <w:sz w:val="20"/>
          <w:szCs w:val="20"/>
        </w:rPr>
        <w:t xml:space="preserve">; </w:t>
      </w:r>
      <w:r w:rsidRPr="00FC464B">
        <w:rPr>
          <w:rFonts w:ascii="Arial" w:hAnsi="Arial" w:cs="Arial"/>
          <w:sz w:val="20"/>
          <w:szCs w:val="20"/>
        </w:rPr>
        <w:t>34(2):141-4.</w:t>
      </w:r>
    </w:p>
    <w:p w:rsidR="00CC3695" w:rsidRPr="00FC464B" w:rsidRDefault="00CC3695" w:rsidP="00C82D87">
      <w:pPr>
        <w:pStyle w:val="Prrafodelista"/>
        <w:numPr>
          <w:ilvl w:val="0"/>
          <w:numId w:val="5"/>
        </w:numPr>
        <w:tabs>
          <w:tab w:val="left" w:pos="142"/>
        </w:tabs>
        <w:spacing w:after="0" w:line="240" w:lineRule="auto"/>
        <w:ind w:left="142" w:hanging="142"/>
        <w:jc w:val="both"/>
        <w:rPr>
          <w:rFonts w:ascii="Arial" w:hAnsi="Arial" w:cs="Arial"/>
          <w:sz w:val="20"/>
          <w:szCs w:val="20"/>
        </w:rPr>
      </w:pPr>
      <w:r w:rsidRPr="00FC464B">
        <w:rPr>
          <w:rFonts w:ascii="Arial" w:hAnsi="Arial" w:cs="Arial"/>
          <w:sz w:val="20"/>
          <w:szCs w:val="20"/>
          <w:shd w:val="clear" w:color="auto" w:fill="FFFFFF"/>
        </w:rPr>
        <w:t>Torres-</w:t>
      </w:r>
      <w:proofErr w:type="spellStart"/>
      <w:r w:rsidRPr="00FC464B">
        <w:rPr>
          <w:rFonts w:ascii="Arial" w:hAnsi="Arial" w:cs="Arial"/>
          <w:sz w:val="20"/>
          <w:szCs w:val="20"/>
          <w:shd w:val="clear" w:color="auto" w:fill="FFFFFF"/>
        </w:rPr>
        <w:t>Bugarin</w:t>
      </w:r>
      <w:proofErr w:type="spellEnd"/>
      <w:r w:rsidRPr="00FC464B">
        <w:rPr>
          <w:rFonts w:ascii="Arial" w:hAnsi="Arial" w:cs="Arial"/>
          <w:sz w:val="20"/>
          <w:szCs w:val="20"/>
          <w:shd w:val="clear" w:color="auto" w:fill="FFFFFF"/>
        </w:rPr>
        <w:t xml:space="preserve"> O, </w:t>
      </w:r>
      <w:r w:rsidR="002A6F42" w:rsidRPr="00FC464B">
        <w:rPr>
          <w:rFonts w:ascii="Arial" w:hAnsi="Arial" w:cs="Arial"/>
          <w:sz w:val="20"/>
          <w:szCs w:val="20"/>
          <w:shd w:val="clear" w:color="auto" w:fill="FFFFFF"/>
        </w:rPr>
        <w:t xml:space="preserve">et al., </w:t>
      </w:r>
      <w:r w:rsidRPr="00FC464B">
        <w:rPr>
          <w:rFonts w:ascii="Arial" w:hAnsi="Arial" w:cs="Arial"/>
          <w:sz w:val="20"/>
          <w:szCs w:val="20"/>
          <w:shd w:val="clear" w:color="auto" w:fill="FFFFFF"/>
        </w:rPr>
        <w:t xml:space="preserve">Procedimientos básicos de la prueba de </w:t>
      </w:r>
      <w:proofErr w:type="spellStart"/>
      <w:r w:rsidRPr="00FC464B">
        <w:rPr>
          <w:rFonts w:ascii="Arial" w:hAnsi="Arial" w:cs="Arial"/>
          <w:sz w:val="20"/>
          <w:szCs w:val="20"/>
          <w:shd w:val="clear" w:color="auto" w:fill="FFFFFF"/>
        </w:rPr>
        <w:t>micronucleos</w:t>
      </w:r>
      <w:proofErr w:type="spellEnd"/>
      <w:r w:rsidRPr="00FC464B">
        <w:rPr>
          <w:rFonts w:ascii="Arial" w:hAnsi="Arial" w:cs="Arial"/>
          <w:sz w:val="20"/>
          <w:szCs w:val="20"/>
          <w:shd w:val="clear" w:color="auto" w:fill="FFFFFF"/>
        </w:rPr>
        <w:t xml:space="preserve"> y anormalidades nucleares en células exfoliadas de mucosa oral. El Residente. 2013</w:t>
      </w:r>
      <w:r w:rsidR="002A6F42" w:rsidRPr="00FC464B">
        <w:rPr>
          <w:rFonts w:ascii="Arial" w:hAnsi="Arial" w:cs="Arial"/>
          <w:sz w:val="20"/>
          <w:szCs w:val="20"/>
          <w:shd w:val="clear" w:color="auto" w:fill="FFFFFF"/>
        </w:rPr>
        <w:t xml:space="preserve">; </w:t>
      </w:r>
      <w:r w:rsidRPr="00FC464B">
        <w:rPr>
          <w:rFonts w:ascii="Arial" w:hAnsi="Arial" w:cs="Arial"/>
          <w:sz w:val="20"/>
          <w:szCs w:val="20"/>
          <w:shd w:val="clear" w:color="auto" w:fill="FFFFFF"/>
        </w:rPr>
        <w:t>8(1).</w:t>
      </w:r>
    </w:p>
    <w:p w:rsidR="0073400D" w:rsidRPr="00FC464B" w:rsidRDefault="0073400D" w:rsidP="0073400D">
      <w:pPr>
        <w:pStyle w:val="Sangra2detindependiente1"/>
        <w:widowControl/>
        <w:numPr>
          <w:ilvl w:val="0"/>
          <w:numId w:val="5"/>
        </w:numPr>
        <w:tabs>
          <w:tab w:val="left" w:pos="142"/>
        </w:tabs>
        <w:spacing w:line="240" w:lineRule="auto"/>
        <w:ind w:left="142" w:right="51" w:hanging="142"/>
        <w:rPr>
          <w:rFonts w:cs="Arial"/>
          <w:sz w:val="20"/>
        </w:rPr>
      </w:pPr>
      <w:r w:rsidRPr="00FC464B">
        <w:rPr>
          <w:rFonts w:cs="Arial"/>
          <w:sz w:val="20"/>
        </w:rPr>
        <w:t xml:space="preserve">Zúñiga-González G., </w:t>
      </w:r>
      <w:r w:rsidRPr="00FC464B">
        <w:rPr>
          <w:rFonts w:cs="Arial"/>
          <w:i/>
          <w:sz w:val="20"/>
        </w:rPr>
        <w:t>et al</w:t>
      </w:r>
      <w:r w:rsidRPr="00FC464B">
        <w:rPr>
          <w:rFonts w:cs="Arial"/>
          <w:sz w:val="20"/>
        </w:rPr>
        <w:t xml:space="preserve">., </w:t>
      </w:r>
      <w:r w:rsidRPr="00FC464B">
        <w:rPr>
          <w:rFonts w:cs="Arial"/>
          <w:sz w:val="20"/>
          <w:lang w:val="en-US"/>
        </w:rPr>
        <w:t xml:space="preserve">Spontaneous micronuclei in peripheral blood erythrocytes from 35 mammalian species. </w:t>
      </w:r>
      <w:proofErr w:type="spellStart"/>
      <w:r w:rsidRPr="00FC464B">
        <w:rPr>
          <w:rFonts w:cs="Arial"/>
          <w:sz w:val="20"/>
          <w:lang w:val="en-US"/>
        </w:rPr>
        <w:t>Mutat</w:t>
      </w:r>
      <w:proofErr w:type="spellEnd"/>
      <w:r w:rsidRPr="00FC464B">
        <w:rPr>
          <w:rFonts w:cs="Arial"/>
          <w:sz w:val="20"/>
          <w:lang w:val="en-US"/>
        </w:rPr>
        <w:t xml:space="preserve">. </w:t>
      </w:r>
      <w:r w:rsidRPr="00FC464B">
        <w:rPr>
          <w:rFonts w:cs="Arial"/>
          <w:sz w:val="20"/>
        </w:rPr>
        <w:t>Res. 1996; 369, 123-127.</w:t>
      </w:r>
    </w:p>
    <w:p w:rsidR="0073400D" w:rsidRPr="00FC464B" w:rsidRDefault="00F7295E" w:rsidP="0073400D">
      <w:pPr>
        <w:pStyle w:val="Prrafodelista"/>
        <w:numPr>
          <w:ilvl w:val="0"/>
          <w:numId w:val="5"/>
        </w:numPr>
        <w:ind w:left="142" w:hanging="142"/>
        <w:jc w:val="both"/>
        <w:rPr>
          <w:rFonts w:ascii="Arial" w:eastAsia="Calibri" w:hAnsi="Arial" w:cs="Arial"/>
          <w:sz w:val="20"/>
          <w:szCs w:val="20"/>
          <w:lang w:val="es-MX" w:eastAsia="en-US"/>
        </w:rPr>
      </w:pPr>
      <w:hyperlink r:id="rId10" w:history="1">
        <w:proofErr w:type="spellStart"/>
        <w:r w:rsidR="0073400D" w:rsidRPr="00FC464B">
          <w:rPr>
            <w:rFonts w:ascii="Arial" w:eastAsia="Calibri" w:hAnsi="Arial" w:cs="Arial"/>
            <w:sz w:val="20"/>
            <w:szCs w:val="20"/>
            <w:lang w:val="es-MX" w:eastAsia="en-US"/>
          </w:rPr>
          <w:t>Ambroise</w:t>
        </w:r>
        <w:proofErr w:type="spellEnd"/>
        <w:r w:rsidR="0073400D" w:rsidRPr="00FC464B">
          <w:rPr>
            <w:rFonts w:ascii="Arial" w:eastAsia="Calibri" w:hAnsi="Arial" w:cs="Arial"/>
            <w:sz w:val="20"/>
            <w:szCs w:val="20"/>
            <w:lang w:val="es-MX" w:eastAsia="en-US"/>
          </w:rPr>
          <w:t xml:space="preserve"> MM</w:t>
        </w:r>
      </w:hyperlink>
      <w:r w:rsidR="0073400D" w:rsidRPr="00FC464B">
        <w:rPr>
          <w:rFonts w:ascii="Arial" w:eastAsia="Calibri" w:hAnsi="Arial" w:cs="Arial"/>
          <w:sz w:val="20"/>
          <w:szCs w:val="20"/>
          <w:lang w:val="es-MX" w:eastAsia="en-US"/>
        </w:rPr>
        <w:t xml:space="preserve">, </w:t>
      </w:r>
      <w:r w:rsidR="0073400D" w:rsidRPr="00FC464B">
        <w:rPr>
          <w:rFonts w:ascii="Arial" w:eastAsia="Calibri" w:hAnsi="Arial" w:cs="Arial"/>
          <w:i/>
          <w:sz w:val="20"/>
          <w:szCs w:val="20"/>
          <w:lang w:val="es-MX" w:eastAsia="en-US"/>
        </w:rPr>
        <w:t>et al</w:t>
      </w:r>
      <w:r w:rsidR="0073400D" w:rsidRPr="00FC464B">
        <w:rPr>
          <w:rFonts w:ascii="Arial" w:eastAsia="Calibri" w:hAnsi="Arial" w:cs="Arial"/>
          <w:sz w:val="20"/>
          <w:szCs w:val="20"/>
          <w:lang w:val="es-MX" w:eastAsia="en-US"/>
        </w:rPr>
        <w:t xml:space="preserve">., </w:t>
      </w:r>
      <w:proofErr w:type="spellStart"/>
      <w:r w:rsidR="0073400D" w:rsidRPr="00FC464B">
        <w:rPr>
          <w:rFonts w:ascii="Arial" w:eastAsia="Calibri" w:hAnsi="Arial" w:cs="Arial"/>
          <w:sz w:val="20"/>
          <w:szCs w:val="20"/>
          <w:lang w:val="es-MX" w:eastAsia="en-US"/>
        </w:rPr>
        <w:t>Predictive</w:t>
      </w:r>
      <w:proofErr w:type="spellEnd"/>
      <w:r w:rsidR="0073400D" w:rsidRPr="00FC464B">
        <w:rPr>
          <w:rFonts w:ascii="Arial" w:eastAsia="Calibri" w:hAnsi="Arial" w:cs="Arial"/>
          <w:sz w:val="20"/>
          <w:szCs w:val="20"/>
          <w:lang w:val="es-MX" w:eastAsia="en-US"/>
        </w:rPr>
        <w:t xml:space="preserve"> </w:t>
      </w:r>
      <w:proofErr w:type="spellStart"/>
      <w:r w:rsidR="0073400D" w:rsidRPr="00FC464B">
        <w:rPr>
          <w:rFonts w:ascii="Arial" w:eastAsia="Calibri" w:hAnsi="Arial" w:cs="Arial"/>
          <w:sz w:val="20"/>
          <w:szCs w:val="20"/>
          <w:lang w:val="es-MX" w:eastAsia="en-US"/>
        </w:rPr>
        <w:t>Value</w:t>
      </w:r>
      <w:proofErr w:type="spellEnd"/>
      <w:r w:rsidR="0073400D" w:rsidRPr="00FC464B">
        <w:rPr>
          <w:rFonts w:ascii="Arial" w:eastAsia="Calibri" w:hAnsi="Arial" w:cs="Arial"/>
          <w:sz w:val="20"/>
          <w:szCs w:val="20"/>
          <w:lang w:val="es-MX" w:eastAsia="en-US"/>
        </w:rPr>
        <w:t xml:space="preserve"> of </w:t>
      </w:r>
      <w:proofErr w:type="spellStart"/>
      <w:r w:rsidR="0073400D" w:rsidRPr="00FC464B">
        <w:rPr>
          <w:rFonts w:ascii="Arial" w:eastAsia="Calibri" w:hAnsi="Arial" w:cs="Arial"/>
          <w:sz w:val="20"/>
          <w:szCs w:val="20"/>
          <w:lang w:val="es-MX" w:eastAsia="en-US"/>
        </w:rPr>
        <w:t>Micronucleus</w:t>
      </w:r>
      <w:proofErr w:type="spellEnd"/>
      <w:r w:rsidR="0073400D" w:rsidRPr="00FC464B">
        <w:rPr>
          <w:rFonts w:ascii="Arial" w:eastAsia="Calibri" w:hAnsi="Arial" w:cs="Arial"/>
          <w:sz w:val="20"/>
          <w:szCs w:val="20"/>
          <w:lang w:val="es-MX" w:eastAsia="en-US"/>
        </w:rPr>
        <w:t xml:space="preserve"> </w:t>
      </w:r>
      <w:proofErr w:type="spellStart"/>
      <w:r w:rsidR="0073400D" w:rsidRPr="00FC464B">
        <w:rPr>
          <w:rFonts w:ascii="Arial" w:eastAsia="Calibri" w:hAnsi="Arial" w:cs="Arial"/>
          <w:sz w:val="20"/>
          <w:szCs w:val="20"/>
          <w:lang w:val="es-MX" w:eastAsia="en-US"/>
        </w:rPr>
        <w:t>Count</w:t>
      </w:r>
      <w:proofErr w:type="spellEnd"/>
      <w:r w:rsidR="0073400D" w:rsidRPr="00FC464B">
        <w:rPr>
          <w:rFonts w:ascii="Arial" w:eastAsia="Calibri" w:hAnsi="Arial" w:cs="Arial"/>
          <w:sz w:val="20"/>
          <w:szCs w:val="20"/>
          <w:lang w:val="es-MX" w:eastAsia="en-US"/>
        </w:rPr>
        <w:t xml:space="preserve"> in Cervical </w:t>
      </w:r>
      <w:proofErr w:type="spellStart"/>
      <w:r w:rsidR="0073400D" w:rsidRPr="00FC464B">
        <w:rPr>
          <w:rFonts w:ascii="Arial" w:eastAsia="Calibri" w:hAnsi="Arial" w:cs="Arial"/>
          <w:sz w:val="20"/>
          <w:szCs w:val="20"/>
          <w:lang w:val="es-MX" w:eastAsia="en-US"/>
        </w:rPr>
        <w:t>Intraepithelial</w:t>
      </w:r>
      <w:proofErr w:type="spellEnd"/>
      <w:r w:rsidR="0073400D" w:rsidRPr="00FC464B">
        <w:rPr>
          <w:rFonts w:ascii="Arial" w:eastAsia="Calibri" w:hAnsi="Arial" w:cs="Arial"/>
          <w:sz w:val="20"/>
          <w:szCs w:val="20"/>
          <w:lang w:val="es-MX" w:eastAsia="en-US"/>
        </w:rPr>
        <w:t xml:space="preserve"> Neoplasia and Carcinoma. </w:t>
      </w:r>
      <w:hyperlink r:id="rId11" w:tooltip="Türk patoloji dergisi." w:history="1">
        <w:proofErr w:type="spellStart"/>
        <w:r w:rsidR="0073400D" w:rsidRPr="00FC464B">
          <w:rPr>
            <w:rFonts w:ascii="Arial" w:eastAsia="Calibri" w:hAnsi="Arial" w:cs="Arial"/>
            <w:sz w:val="20"/>
            <w:szCs w:val="20"/>
            <w:lang w:val="es-MX" w:eastAsia="en-US"/>
          </w:rPr>
          <w:t>Turk</w:t>
        </w:r>
        <w:proofErr w:type="spellEnd"/>
        <w:r w:rsidR="0073400D" w:rsidRPr="00FC464B">
          <w:rPr>
            <w:rFonts w:ascii="Arial" w:eastAsia="Calibri" w:hAnsi="Arial" w:cs="Arial"/>
            <w:sz w:val="20"/>
            <w:szCs w:val="20"/>
            <w:lang w:val="es-MX" w:eastAsia="en-US"/>
          </w:rPr>
          <w:t xml:space="preserve">  </w:t>
        </w:r>
        <w:proofErr w:type="spellStart"/>
        <w:r w:rsidR="0073400D" w:rsidRPr="00FC464B">
          <w:rPr>
            <w:rFonts w:ascii="Arial" w:eastAsia="Calibri" w:hAnsi="Arial" w:cs="Arial"/>
            <w:sz w:val="20"/>
            <w:szCs w:val="20"/>
            <w:lang w:val="es-MX" w:eastAsia="en-US"/>
          </w:rPr>
          <w:t>Patoloji</w:t>
        </w:r>
        <w:proofErr w:type="spellEnd"/>
        <w:r w:rsidR="0073400D" w:rsidRPr="00FC464B">
          <w:rPr>
            <w:rFonts w:ascii="Arial" w:eastAsia="Calibri" w:hAnsi="Arial" w:cs="Arial"/>
            <w:sz w:val="20"/>
            <w:szCs w:val="20"/>
            <w:lang w:val="es-MX" w:eastAsia="en-US"/>
          </w:rPr>
          <w:t xml:space="preserve">  </w:t>
        </w:r>
        <w:proofErr w:type="spellStart"/>
        <w:r w:rsidR="0073400D" w:rsidRPr="00FC464B">
          <w:rPr>
            <w:rFonts w:ascii="Arial" w:eastAsia="Calibri" w:hAnsi="Arial" w:cs="Arial"/>
            <w:sz w:val="20"/>
            <w:szCs w:val="20"/>
            <w:lang w:val="es-MX" w:eastAsia="en-US"/>
          </w:rPr>
          <w:t>Derg</w:t>
        </w:r>
        <w:proofErr w:type="spellEnd"/>
        <w:r w:rsidR="0073400D" w:rsidRPr="00FC464B">
          <w:rPr>
            <w:rFonts w:ascii="Arial" w:eastAsia="Calibri" w:hAnsi="Arial" w:cs="Arial"/>
            <w:sz w:val="20"/>
            <w:szCs w:val="20"/>
            <w:lang w:val="es-MX" w:eastAsia="en-US"/>
          </w:rPr>
          <w:t>.</w:t>
        </w:r>
      </w:hyperlink>
      <w:r w:rsidR="0073400D" w:rsidRPr="00FC464B">
        <w:rPr>
          <w:rFonts w:ascii="Arial" w:eastAsia="Calibri" w:hAnsi="Arial" w:cs="Arial"/>
          <w:sz w:val="20"/>
          <w:szCs w:val="20"/>
          <w:lang w:val="es-MX" w:eastAsia="en-US"/>
        </w:rPr>
        <w:t xml:space="preserve"> 2013</w:t>
      </w:r>
      <w:proofErr w:type="gramStart"/>
      <w:r w:rsidR="0073400D" w:rsidRPr="00FC464B">
        <w:rPr>
          <w:rFonts w:ascii="Arial" w:eastAsia="Calibri" w:hAnsi="Arial" w:cs="Arial"/>
          <w:sz w:val="20"/>
          <w:szCs w:val="20"/>
          <w:lang w:val="es-MX" w:eastAsia="en-US"/>
        </w:rPr>
        <w:t>;29</w:t>
      </w:r>
      <w:proofErr w:type="gramEnd"/>
      <w:r w:rsidR="0073400D" w:rsidRPr="00FC464B">
        <w:rPr>
          <w:rFonts w:ascii="Arial" w:eastAsia="Calibri" w:hAnsi="Arial" w:cs="Arial"/>
          <w:sz w:val="20"/>
          <w:szCs w:val="20"/>
          <w:lang w:val="es-MX" w:eastAsia="en-US"/>
        </w:rPr>
        <w:t>(3):171-8.</w:t>
      </w:r>
    </w:p>
    <w:p w:rsidR="0073400D" w:rsidRPr="00FC464B" w:rsidRDefault="0073400D" w:rsidP="0073400D">
      <w:pPr>
        <w:pStyle w:val="Prrafodelista"/>
        <w:numPr>
          <w:ilvl w:val="0"/>
          <w:numId w:val="5"/>
        </w:numPr>
        <w:ind w:left="142" w:hanging="142"/>
        <w:jc w:val="both"/>
        <w:rPr>
          <w:rFonts w:ascii="Arial" w:eastAsia="Calibri" w:hAnsi="Arial" w:cs="Arial"/>
          <w:sz w:val="20"/>
          <w:szCs w:val="20"/>
          <w:lang w:val="es-MX" w:eastAsia="en-US"/>
        </w:rPr>
      </w:pPr>
      <w:r w:rsidRPr="00FC464B">
        <w:rPr>
          <w:rFonts w:ascii="Arial" w:eastAsia="Calibri" w:hAnsi="Arial" w:cs="Arial"/>
          <w:sz w:val="20"/>
          <w:szCs w:val="20"/>
          <w:lang w:val="es-MX" w:eastAsia="en-US"/>
        </w:rPr>
        <w:t>Ornelas-Aguirre JM, Gómez-Meda BC, Zamora-</w:t>
      </w:r>
      <w:proofErr w:type="spellStart"/>
      <w:r w:rsidRPr="00FC464B">
        <w:rPr>
          <w:rFonts w:ascii="Arial" w:eastAsia="Calibri" w:hAnsi="Arial" w:cs="Arial"/>
          <w:sz w:val="20"/>
          <w:szCs w:val="20"/>
          <w:lang w:val="es-MX" w:eastAsia="en-US"/>
        </w:rPr>
        <w:t>Perez</w:t>
      </w:r>
      <w:proofErr w:type="spellEnd"/>
      <w:r w:rsidRPr="00FC464B">
        <w:rPr>
          <w:rFonts w:ascii="Arial" w:eastAsia="Calibri" w:hAnsi="Arial" w:cs="Arial"/>
          <w:sz w:val="20"/>
          <w:szCs w:val="20"/>
          <w:lang w:val="es-MX" w:eastAsia="en-US"/>
        </w:rPr>
        <w:t xml:space="preserve"> AL, Ramos-Ibarra ML, Batista-González CM, Zúñiga-González GM</w:t>
      </w:r>
      <w:r w:rsidRPr="00FC464B">
        <w:rPr>
          <w:rFonts w:ascii="Arial" w:hAnsi="Arial" w:cs="Arial"/>
          <w:sz w:val="20"/>
          <w:szCs w:val="20"/>
        </w:rPr>
        <w:t xml:space="preserve">. </w:t>
      </w:r>
      <w:hyperlink r:id="rId12" w:history="1">
        <w:proofErr w:type="spellStart"/>
        <w:r w:rsidRPr="00FC464B">
          <w:rPr>
            <w:rFonts w:ascii="Arial" w:eastAsia="Calibri" w:hAnsi="Arial" w:cs="Arial"/>
            <w:sz w:val="20"/>
            <w:szCs w:val="20"/>
            <w:lang w:val="es-MX" w:eastAsia="en-US"/>
          </w:rPr>
          <w:t>Micronucleus</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induction</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by</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metronidazole</w:t>
        </w:r>
        <w:proofErr w:type="spellEnd"/>
        <w:r w:rsidRPr="00FC464B">
          <w:rPr>
            <w:rFonts w:ascii="Arial" w:eastAsia="Calibri" w:hAnsi="Arial" w:cs="Arial"/>
            <w:sz w:val="20"/>
            <w:szCs w:val="20"/>
            <w:lang w:val="es-MX" w:eastAsia="en-US"/>
          </w:rPr>
          <w:t xml:space="preserve"> in </w:t>
        </w:r>
        <w:proofErr w:type="spellStart"/>
        <w:r w:rsidRPr="00FC464B">
          <w:rPr>
            <w:rFonts w:ascii="Arial" w:eastAsia="Calibri" w:hAnsi="Arial" w:cs="Arial"/>
            <w:sz w:val="20"/>
            <w:szCs w:val="20"/>
            <w:lang w:val="es-MX" w:eastAsia="en-US"/>
          </w:rPr>
          <w:t>rat</w:t>
        </w:r>
        <w:proofErr w:type="spellEnd"/>
        <w:r w:rsidRPr="00FC464B">
          <w:rPr>
            <w:rFonts w:ascii="Arial" w:eastAsia="Calibri" w:hAnsi="Arial" w:cs="Arial"/>
            <w:sz w:val="20"/>
            <w:szCs w:val="20"/>
            <w:lang w:val="es-MX" w:eastAsia="en-US"/>
          </w:rPr>
          <w:t xml:space="preserve"> vaginal mucosa.</w:t>
        </w:r>
      </w:hyperlink>
      <w:r w:rsidRPr="00FC464B">
        <w:rPr>
          <w:rFonts w:ascii="Arial" w:eastAsia="Calibri" w:hAnsi="Arial" w:cs="Arial"/>
          <w:sz w:val="20"/>
          <w:szCs w:val="20"/>
          <w:lang w:val="es-MX" w:eastAsia="en-US"/>
        </w:rPr>
        <w:t>.</w:t>
      </w:r>
      <w:proofErr w:type="spellStart"/>
      <w:r w:rsidRPr="00FC464B">
        <w:rPr>
          <w:rFonts w:ascii="Arial" w:eastAsia="Calibri" w:hAnsi="Arial" w:cs="Arial"/>
          <w:sz w:val="20"/>
          <w:szCs w:val="20"/>
          <w:lang w:val="es-MX" w:eastAsia="en-US"/>
        </w:rPr>
        <w:t>Environ</w:t>
      </w:r>
      <w:proofErr w:type="spellEnd"/>
      <w:r w:rsidRPr="00FC464B">
        <w:rPr>
          <w:rFonts w:ascii="Arial" w:eastAsia="Calibri" w:hAnsi="Arial" w:cs="Arial"/>
          <w:sz w:val="20"/>
          <w:szCs w:val="20"/>
          <w:lang w:val="es-MX" w:eastAsia="en-US"/>
        </w:rPr>
        <w:t xml:space="preserve"> Mol </w:t>
      </w:r>
      <w:proofErr w:type="spellStart"/>
      <w:r w:rsidRPr="00FC464B">
        <w:rPr>
          <w:rFonts w:ascii="Arial" w:eastAsia="Calibri" w:hAnsi="Arial" w:cs="Arial"/>
          <w:sz w:val="20"/>
          <w:szCs w:val="20"/>
          <w:lang w:val="es-MX" w:eastAsia="en-US"/>
        </w:rPr>
        <w:t>Mutagen</w:t>
      </w:r>
      <w:proofErr w:type="spellEnd"/>
      <w:r w:rsidRPr="00FC464B">
        <w:rPr>
          <w:rFonts w:ascii="Arial" w:eastAsia="Calibri" w:hAnsi="Arial" w:cs="Arial"/>
          <w:sz w:val="20"/>
          <w:szCs w:val="20"/>
          <w:lang w:val="es-MX" w:eastAsia="en-US"/>
        </w:rPr>
        <w:t>. 2006 Jun</w:t>
      </w:r>
      <w:proofErr w:type="gramStart"/>
      <w:r w:rsidRPr="00FC464B">
        <w:rPr>
          <w:rFonts w:ascii="Arial" w:eastAsia="Calibri" w:hAnsi="Arial" w:cs="Arial"/>
          <w:sz w:val="20"/>
          <w:szCs w:val="20"/>
          <w:lang w:val="es-MX" w:eastAsia="en-US"/>
        </w:rPr>
        <w:t>;47</w:t>
      </w:r>
      <w:proofErr w:type="gramEnd"/>
      <w:r w:rsidRPr="00FC464B">
        <w:rPr>
          <w:rFonts w:ascii="Arial" w:eastAsia="Calibri" w:hAnsi="Arial" w:cs="Arial"/>
          <w:sz w:val="20"/>
          <w:szCs w:val="20"/>
          <w:lang w:val="es-MX" w:eastAsia="en-US"/>
        </w:rPr>
        <w:t>(5):352-6.</w:t>
      </w:r>
    </w:p>
    <w:p w:rsidR="0073400D" w:rsidRPr="00FC464B" w:rsidRDefault="0073400D" w:rsidP="0073400D">
      <w:pPr>
        <w:pStyle w:val="Prrafodelista"/>
        <w:numPr>
          <w:ilvl w:val="0"/>
          <w:numId w:val="5"/>
        </w:numPr>
        <w:ind w:left="142" w:hanging="142"/>
        <w:jc w:val="both"/>
        <w:rPr>
          <w:rFonts w:ascii="Arial" w:eastAsia="Calibri" w:hAnsi="Arial" w:cs="Arial"/>
          <w:sz w:val="20"/>
          <w:szCs w:val="20"/>
          <w:lang w:val="es-MX" w:eastAsia="en-US"/>
        </w:rPr>
      </w:pPr>
      <w:r w:rsidRPr="00FC464B">
        <w:rPr>
          <w:rFonts w:ascii="Arial" w:eastAsia="Calibri" w:hAnsi="Arial" w:cs="Arial"/>
          <w:sz w:val="20"/>
          <w:szCs w:val="20"/>
          <w:lang w:val="es-MX" w:eastAsia="en-US"/>
        </w:rPr>
        <w:t>Zúñiga-González G, Gómez-Meda BC, Zamora-</w:t>
      </w:r>
      <w:proofErr w:type="spellStart"/>
      <w:r w:rsidRPr="00FC464B">
        <w:rPr>
          <w:rFonts w:ascii="Arial" w:eastAsia="Calibri" w:hAnsi="Arial" w:cs="Arial"/>
          <w:sz w:val="20"/>
          <w:szCs w:val="20"/>
          <w:lang w:val="es-MX" w:eastAsia="en-US"/>
        </w:rPr>
        <w:t>Perez</w:t>
      </w:r>
      <w:proofErr w:type="spellEnd"/>
      <w:r w:rsidRPr="00FC464B">
        <w:rPr>
          <w:rFonts w:ascii="Arial" w:eastAsia="Calibri" w:hAnsi="Arial" w:cs="Arial"/>
          <w:sz w:val="20"/>
          <w:szCs w:val="20"/>
          <w:lang w:val="es-MX" w:eastAsia="en-US"/>
        </w:rPr>
        <w:t xml:space="preserve"> A, Ramos-Ibarra ML, Batista-González CM, Espinoza-Jiménez S, Gallegos-Arreola MP, </w:t>
      </w:r>
      <w:proofErr w:type="spellStart"/>
      <w:r w:rsidRPr="00FC464B">
        <w:rPr>
          <w:rFonts w:ascii="Arial" w:eastAsia="Calibri" w:hAnsi="Arial" w:cs="Arial"/>
          <w:sz w:val="20"/>
          <w:szCs w:val="20"/>
          <w:lang w:val="es-MX" w:eastAsia="en-US"/>
        </w:rPr>
        <w:t>Alvarez</w:t>
      </w:r>
      <w:proofErr w:type="spellEnd"/>
      <w:r w:rsidRPr="00FC464B">
        <w:rPr>
          <w:rFonts w:ascii="Arial" w:eastAsia="Calibri" w:hAnsi="Arial" w:cs="Arial"/>
          <w:sz w:val="20"/>
          <w:szCs w:val="20"/>
          <w:lang w:val="es-MX" w:eastAsia="en-US"/>
        </w:rPr>
        <w:t xml:space="preserve">-Moya C, Torres-Bugarín O. </w:t>
      </w:r>
      <w:hyperlink r:id="rId13" w:history="1">
        <w:proofErr w:type="spellStart"/>
        <w:r w:rsidRPr="00FC464B">
          <w:rPr>
            <w:rFonts w:ascii="Arial" w:eastAsia="Calibri" w:hAnsi="Arial" w:cs="Arial"/>
            <w:sz w:val="20"/>
            <w:szCs w:val="20"/>
            <w:lang w:val="es-MX" w:eastAsia="en-US"/>
          </w:rPr>
          <w:t>Induction</w:t>
        </w:r>
        <w:proofErr w:type="spellEnd"/>
        <w:r w:rsidRPr="00FC464B">
          <w:rPr>
            <w:rFonts w:ascii="Arial" w:eastAsia="Calibri" w:hAnsi="Arial" w:cs="Arial"/>
            <w:sz w:val="20"/>
            <w:szCs w:val="20"/>
            <w:lang w:val="es-MX" w:eastAsia="en-US"/>
          </w:rPr>
          <w:t xml:space="preserve"> of </w:t>
        </w:r>
        <w:proofErr w:type="spellStart"/>
        <w:r w:rsidRPr="00FC464B">
          <w:rPr>
            <w:rFonts w:ascii="Arial" w:eastAsia="Calibri" w:hAnsi="Arial" w:cs="Arial"/>
            <w:sz w:val="20"/>
            <w:szCs w:val="20"/>
            <w:lang w:val="es-MX" w:eastAsia="en-US"/>
          </w:rPr>
          <w:t>micronuclei</w:t>
        </w:r>
        <w:proofErr w:type="spellEnd"/>
        <w:r w:rsidRPr="00FC464B">
          <w:rPr>
            <w:rFonts w:ascii="Arial" w:eastAsia="Calibri" w:hAnsi="Arial" w:cs="Arial"/>
            <w:sz w:val="20"/>
            <w:szCs w:val="20"/>
            <w:lang w:val="es-MX" w:eastAsia="en-US"/>
          </w:rPr>
          <w:t xml:space="preserve"> in </w:t>
        </w:r>
        <w:proofErr w:type="spellStart"/>
        <w:r w:rsidRPr="00FC464B">
          <w:rPr>
            <w:rFonts w:ascii="Arial" w:eastAsia="Calibri" w:hAnsi="Arial" w:cs="Arial"/>
            <w:sz w:val="20"/>
            <w:szCs w:val="20"/>
            <w:lang w:val="es-MX" w:eastAsia="en-US"/>
          </w:rPr>
          <w:t>proestrus</w:t>
        </w:r>
        <w:proofErr w:type="spellEnd"/>
        <w:r w:rsidRPr="00FC464B">
          <w:rPr>
            <w:rFonts w:ascii="Arial" w:eastAsia="Calibri" w:hAnsi="Arial" w:cs="Arial"/>
            <w:sz w:val="20"/>
            <w:szCs w:val="20"/>
            <w:lang w:val="es-MX" w:eastAsia="en-US"/>
          </w:rPr>
          <w:t xml:space="preserve"> vaginal </w:t>
        </w:r>
        <w:proofErr w:type="spellStart"/>
        <w:r w:rsidRPr="00FC464B">
          <w:rPr>
            <w:rFonts w:ascii="Arial" w:eastAsia="Calibri" w:hAnsi="Arial" w:cs="Arial"/>
            <w:sz w:val="20"/>
            <w:szCs w:val="20"/>
            <w:lang w:val="es-MX" w:eastAsia="en-US"/>
          </w:rPr>
          <w:t>cells</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from</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colchicine</w:t>
        </w:r>
        <w:proofErr w:type="spellEnd"/>
        <w:r w:rsidRPr="00FC464B">
          <w:rPr>
            <w:rFonts w:ascii="Arial" w:eastAsia="Calibri" w:hAnsi="Arial" w:cs="Arial"/>
            <w:sz w:val="20"/>
            <w:szCs w:val="20"/>
            <w:lang w:val="es-MX" w:eastAsia="en-US"/>
          </w:rPr>
          <w:t xml:space="preserve">- and </w:t>
        </w:r>
        <w:proofErr w:type="spellStart"/>
        <w:r w:rsidRPr="00FC464B">
          <w:rPr>
            <w:rFonts w:ascii="Arial" w:eastAsia="Calibri" w:hAnsi="Arial" w:cs="Arial"/>
            <w:sz w:val="20"/>
            <w:szCs w:val="20"/>
            <w:lang w:val="es-MX" w:eastAsia="en-US"/>
          </w:rPr>
          <w:t>cyclophosphamide-treated</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rats</w:t>
        </w:r>
        <w:proofErr w:type="spellEnd"/>
        <w:r w:rsidRPr="00FC464B">
          <w:rPr>
            <w:rFonts w:ascii="Arial" w:eastAsia="Calibri" w:hAnsi="Arial" w:cs="Arial"/>
            <w:sz w:val="20"/>
            <w:szCs w:val="20"/>
            <w:lang w:val="es-MX" w:eastAsia="en-US"/>
          </w:rPr>
          <w:t>.</w:t>
        </w:r>
      </w:hyperlink>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Environ</w:t>
      </w:r>
      <w:proofErr w:type="spellEnd"/>
      <w:r w:rsidRPr="00FC464B">
        <w:rPr>
          <w:rFonts w:ascii="Arial" w:eastAsia="Calibri" w:hAnsi="Arial" w:cs="Arial"/>
          <w:sz w:val="20"/>
          <w:szCs w:val="20"/>
          <w:lang w:val="es-MX" w:eastAsia="en-US"/>
        </w:rPr>
        <w:t xml:space="preserve"> Mol </w:t>
      </w:r>
      <w:proofErr w:type="spellStart"/>
      <w:r w:rsidRPr="00FC464B">
        <w:rPr>
          <w:rFonts w:ascii="Arial" w:eastAsia="Calibri" w:hAnsi="Arial" w:cs="Arial"/>
          <w:sz w:val="20"/>
          <w:szCs w:val="20"/>
          <w:lang w:val="es-MX" w:eastAsia="en-US"/>
        </w:rPr>
        <w:t>Mutagen</w:t>
      </w:r>
      <w:proofErr w:type="spellEnd"/>
      <w:r w:rsidRPr="00FC464B">
        <w:rPr>
          <w:rFonts w:ascii="Arial" w:eastAsia="Calibri" w:hAnsi="Arial" w:cs="Arial"/>
          <w:sz w:val="20"/>
          <w:szCs w:val="20"/>
          <w:lang w:val="es-MX" w:eastAsia="en-US"/>
        </w:rPr>
        <w:t>. 2003;42(4):306-10</w:t>
      </w:r>
    </w:p>
    <w:p w:rsidR="00CC3695" w:rsidRPr="00FC464B" w:rsidRDefault="00CC3695" w:rsidP="00C82D87">
      <w:pPr>
        <w:pStyle w:val="Prrafodelista"/>
        <w:numPr>
          <w:ilvl w:val="0"/>
          <w:numId w:val="5"/>
        </w:numPr>
        <w:tabs>
          <w:tab w:val="left" w:pos="142"/>
        </w:tabs>
        <w:spacing w:after="0" w:line="240" w:lineRule="auto"/>
        <w:ind w:left="142" w:hanging="142"/>
        <w:jc w:val="both"/>
        <w:rPr>
          <w:rFonts w:ascii="Arial" w:hAnsi="Arial" w:cs="Arial"/>
          <w:sz w:val="20"/>
          <w:szCs w:val="20"/>
          <w:lang w:val="en-US"/>
        </w:rPr>
      </w:pPr>
      <w:r w:rsidRPr="00FC464B">
        <w:rPr>
          <w:rFonts w:ascii="Arial" w:hAnsi="Arial" w:cs="Arial"/>
          <w:sz w:val="20"/>
          <w:szCs w:val="20"/>
        </w:rPr>
        <w:t>Zúñiga-González G,</w:t>
      </w:r>
      <w:r w:rsidR="002A6F42" w:rsidRPr="00FC464B">
        <w:rPr>
          <w:rFonts w:ascii="Arial" w:hAnsi="Arial" w:cs="Arial"/>
          <w:sz w:val="20"/>
          <w:szCs w:val="20"/>
        </w:rPr>
        <w:t xml:space="preserve"> et al., </w:t>
      </w:r>
      <w:r w:rsidRPr="00FC464B">
        <w:rPr>
          <w:rFonts w:ascii="Arial" w:hAnsi="Arial" w:cs="Arial"/>
          <w:sz w:val="20"/>
          <w:szCs w:val="20"/>
          <w:lang w:val="en-US"/>
        </w:rPr>
        <w:t xml:space="preserve">Induction of </w:t>
      </w:r>
      <w:proofErr w:type="spellStart"/>
      <w:r w:rsidRPr="00FC464B">
        <w:rPr>
          <w:rFonts w:ascii="Arial" w:hAnsi="Arial" w:cs="Arial"/>
          <w:sz w:val="20"/>
          <w:szCs w:val="20"/>
          <w:lang w:val="en-US"/>
        </w:rPr>
        <w:t>Micronucleated</w:t>
      </w:r>
      <w:proofErr w:type="spellEnd"/>
      <w:r w:rsidRPr="00FC464B">
        <w:rPr>
          <w:rFonts w:ascii="Arial" w:hAnsi="Arial" w:cs="Arial"/>
          <w:sz w:val="20"/>
          <w:szCs w:val="20"/>
          <w:lang w:val="en-US"/>
        </w:rPr>
        <w:t xml:space="preserve"> Erythrocytes in Mouse Peripheral Blood. Arch Med Res. 2003; 34.</w:t>
      </w:r>
    </w:p>
    <w:p w:rsidR="0073400D" w:rsidRPr="00FC464B" w:rsidRDefault="0073400D" w:rsidP="0073400D">
      <w:pPr>
        <w:pStyle w:val="Prrafodelista"/>
        <w:numPr>
          <w:ilvl w:val="0"/>
          <w:numId w:val="5"/>
        </w:numPr>
        <w:ind w:left="142" w:hanging="142"/>
        <w:jc w:val="both"/>
        <w:rPr>
          <w:rFonts w:ascii="Arial" w:eastAsia="Calibri" w:hAnsi="Arial" w:cs="Arial"/>
          <w:sz w:val="20"/>
          <w:szCs w:val="20"/>
          <w:lang w:val="es-MX" w:eastAsia="en-US"/>
        </w:rPr>
      </w:pPr>
      <w:r w:rsidRPr="00FC464B">
        <w:rPr>
          <w:rFonts w:ascii="Arial" w:eastAsia="Calibri" w:hAnsi="Arial" w:cs="Arial"/>
          <w:sz w:val="20"/>
          <w:szCs w:val="20"/>
          <w:lang w:val="es-MX" w:eastAsia="en-US"/>
        </w:rPr>
        <w:lastRenderedPageBreak/>
        <w:t>Oliveira-</w:t>
      </w:r>
      <w:proofErr w:type="spellStart"/>
      <w:r w:rsidRPr="00FC464B">
        <w:rPr>
          <w:rFonts w:ascii="Arial" w:eastAsia="Calibri" w:hAnsi="Arial" w:cs="Arial"/>
          <w:sz w:val="20"/>
          <w:szCs w:val="20"/>
          <w:lang w:val="es-MX" w:eastAsia="en-US"/>
        </w:rPr>
        <w:t>Martins</w:t>
      </w:r>
      <w:proofErr w:type="spellEnd"/>
      <w:r w:rsidRPr="00FC464B">
        <w:rPr>
          <w:rFonts w:ascii="Arial" w:eastAsia="Calibri" w:hAnsi="Arial" w:cs="Arial"/>
          <w:sz w:val="20"/>
          <w:szCs w:val="20"/>
          <w:lang w:val="es-MX" w:eastAsia="en-US"/>
        </w:rPr>
        <w:t xml:space="preserve"> CR, </w:t>
      </w:r>
      <w:proofErr w:type="spellStart"/>
      <w:r w:rsidRPr="00FC464B">
        <w:rPr>
          <w:rFonts w:ascii="Arial" w:eastAsia="Calibri" w:hAnsi="Arial" w:cs="Arial"/>
          <w:sz w:val="20"/>
          <w:szCs w:val="20"/>
          <w:lang w:val="es-MX" w:eastAsia="en-US"/>
        </w:rPr>
        <w:t>Grisolia</w:t>
      </w:r>
      <w:proofErr w:type="spellEnd"/>
      <w:r w:rsidRPr="00FC464B">
        <w:rPr>
          <w:rFonts w:ascii="Arial" w:eastAsia="Calibri" w:hAnsi="Arial" w:cs="Arial"/>
          <w:sz w:val="20"/>
          <w:szCs w:val="20"/>
          <w:lang w:val="es-MX" w:eastAsia="en-US"/>
        </w:rPr>
        <w:t xml:space="preserve"> CK. </w:t>
      </w:r>
      <w:hyperlink r:id="rId14" w:history="1">
        <w:proofErr w:type="spellStart"/>
        <w:r w:rsidRPr="00FC464B">
          <w:rPr>
            <w:rFonts w:ascii="Arial" w:eastAsia="Calibri" w:hAnsi="Arial" w:cs="Arial"/>
            <w:sz w:val="20"/>
            <w:szCs w:val="20"/>
            <w:lang w:val="es-MX" w:eastAsia="en-US"/>
          </w:rPr>
          <w:t>Determination</w:t>
        </w:r>
        <w:proofErr w:type="spellEnd"/>
        <w:r w:rsidRPr="00FC464B">
          <w:rPr>
            <w:rFonts w:ascii="Arial" w:eastAsia="Calibri" w:hAnsi="Arial" w:cs="Arial"/>
            <w:sz w:val="20"/>
            <w:szCs w:val="20"/>
            <w:lang w:val="es-MX" w:eastAsia="en-US"/>
          </w:rPr>
          <w:t xml:space="preserve"> of </w:t>
        </w:r>
        <w:proofErr w:type="spellStart"/>
        <w:r w:rsidRPr="00FC464B">
          <w:rPr>
            <w:rFonts w:ascii="Arial" w:eastAsia="Calibri" w:hAnsi="Arial" w:cs="Arial"/>
            <w:sz w:val="20"/>
            <w:szCs w:val="20"/>
            <w:lang w:val="es-MX" w:eastAsia="en-US"/>
          </w:rPr>
          <w:t>micronucleus</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frequency</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by</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acridine</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orange</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fluorescent</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staining</w:t>
        </w:r>
        <w:proofErr w:type="spellEnd"/>
        <w:r w:rsidRPr="00FC464B">
          <w:rPr>
            <w:rFonts w:ascii="Arial" w:eastAsia="Calibri" w:hAnsi="Arial" w:cs="Arial"/>
            <w:sz w:val="20"/>
            <w:szCs w:val="20"/>
            <w:lang w:val="es-MX" w:eastAsia="en-US"/>
          </w:rPr>
          <w:t xml:space="preserve"> in </w:t>
        </w:r>
        <w:proofErr w:type="spellStart"/>
        <w:r w:rsidRPr="00FC464B">
          <w:rPr>
            <w:rFonts w:ascii="Arial" w:eastAsia="Calibri" w:hAnsi="Arial" w:cs="Arial"/>
            <w:sz w:val="20"/>
            <w:szCs w:val="20"/>
            <w:lang w:val="es-MX" w:eastAsia="en-US"/>
          </w:rPr>
          <w:t>peripheral</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blood</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reticulocytes</w:t>
        </w:r>
        <w:proofErr w:type="spellEnd"/>
        <w:r w:rsidRPr="00FC464B">
          <w:rPr>
            <w:rFonts w:ascii="Arial" w:eastAsia="Calibri" w:hAnsi="Arial" w:cs="Arial"/>
            <w:sz w:val="20"/>
            <w:szCs w:val="20"/>
            <w:lang w:val="es-MX" w:eastAsia="en-US"/>
          </w:rPr>
          <w:t xml:space="preserve"> of </w:t>
        </w:r>
        <w:proofErr w:type="spellStart"/>
        <w:r w:rsidRPr="00FC464B">
          <w:rPr>
            <w:rFonts w:ascii="Arial" w:eastAsia="Calibri" w:hAnsi="Arial" w:cs="Arial"/>
            <w:sz w:val="20"/>
            <w:szCs w:val="20"/>
            <w:lang w:val="es-MX" w:eastAsia="en-US"/>
          </w:rPr>
          <w:t>mice</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treated</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topically</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with</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different</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lubricant</w:t>
        </w:r>
        <w:proofErr w:type="spellEnd"/>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oils</w:t>
        </w:r>
        <w:proofErr w:type="spellEnd"/>
        <w:r w:rsidRPr="00FC464B">
          <w:rPr>
            <w:rFonts w:ascii="Arial" w:eastAsia="Calibri" w:hAnsi="Arial" w:cs="Arial"/>
            <w:sz w:val="20"/>
            <w:szCs w:val="20"/>
            <w:lang w:val="es-MX" w:eastAsia="en-US"/>
          </w:rPr>
          <w:t xml:space="preserve"> and </w:t>
        </w:r>
        <w:proofErr w:type="spellStart"/>
        <w:r w:rsidRPr="00FC464B">
          <w:rPr>
            <w:rFonts w:ascii="Arial" w:eastAsia="Calibri" w:hAnsi="Arial" w:cs="Arial"/>
            <w:sz w:val="20"/>
            <w:szCs w:val="20"/>
            <w:lang w:val="es-MX" w:eastAsia="en-US"/>
          </w:rPr>
          <w:t>cyclophosphamide</w:t>
        </w:r>
        <w:proofErr w:type="spellEnd"/>
        <w:r w:rsidRPr="00FC464B">
          <w:rPr>
            <w:rFonts w:ascii="Arial" w:eastAsia="Calibri" w:hAnsi="Arial" w:cs="Arial"/>
            <w:sz w:val="20"/>
            <w:szCs w:val="20"/>
            <w:lang w:val="es-MX" w:eastAsia="en-US"/>
          </w:rPr>
          <w:t>.</w:t>
        </w:r>
      </w:hyperlink>
      <w:r w:rsidRPr="00FC464B">
        <w:rPr>
          <w:rFonts w:ascii="Arial" w:eastAsia="Calibri" w:hAnsi="Arial" w:cs="Arial"/>
          <w:sz w:val="20"/>
          <w:szCs w:val="20"/>
          <w:lang w:val="es-MX" w:eastAsia="en-US"/>
        </w:rPr>
        <w:t xml:space="preserve"> </w:t>
      </w:r>
      <w:proofErr w:type="spellStart"/>
      <w:r w:rsidRPr="00FC464B">
        <w:rPr>
          <w:rFonts w:ascii="Arial" w:eastAsia="Calibri" w:hAnsi="Arial" w:cs="Arial"/>
          <w:sz w:val="20"/>
          <w:szCs w:val="20"/>
          <w:lang w:val="es-MX" w:eastAsia="en-US"/>
        </w:rPr>
        <w:t>Genet</w:t>
      </w:r>
      <w:proofErr w:type="spellEnd"/>
      <w:r w:rsidRPr="00FC464B">
        <w:rPr>
          <w:rFonts w:ascii="Arial" w:eastAsia="Calibri" w:hAnsi="Arial" w:cs="Arial"/>
          <w:sz w:val="20"/>
          <w:szCs w:val="20"/>
          <w:lang w:val="es-MX" w:eastAsia="en-US"/>
        </w:rPr>
        <w:t xml:space="preserve"> Mol Res. 2007 </w:t>
      </w:r>
      <w:proofErr w:type="spellStart"/>
      <w:r w:rsidRPr="00FC464B">
        <w:rPr>
          <w:rFonts w:ascii="Arial" w:eastAsia="Calibri" w:hAnsi="Arial" w:cs="Arial"/>
          <w:sz w:val="20"/>
          <w:szCs w:val="20"/>
          <w:lang w:val="es-MX" w:eastAsia="en-US"/>
        </w:rPr>
        <w:t>Sep</w:t>
      </w:r>
      <w:proofErr w:type="spellEnd"/>
      <w:r w:rsidRPr="00FC464B">
        <w:rPr>
          <w:rFonts w:ascii="Arial" w:eastAsia="Calibri" w:hAnsi="Arial" w:cs="Arial"/>
          <w:sz w:val="20"/>
          <w:szCs w:val="20"/>
          <w:lang w:val="es-MX" w:eastAsia="en-US"/>
        </w:rPr>
        <w:t xml:space="preserve"> 30</w:t>
      </w:r>
      <w:proofErr w:type="gramStart"/>
      <w:r w:rsidRPr="00FC464B">
        <w:rPr>
          <w:rFonts w:ascii="Arial" w:eastAsia="Calibri" w:hAnsi="Arial" w:cs="Arial"/>
          <w:sz w:val="20"/>
          <w:szCs w:val="20"/>
          <w:lang w:val="es-MX" w:eastAsia="en-US"/>
        </w:rPr>
        <w:t>;6</w:t>
      </w:r>
      <w:proofErr w:type="gramEnd"/>
      <w:r w:rsidRPr="00FC464B">
        <w:rPr>
          <w:rFonts w:ascii="Arial" w:eastAsia="Calibri" w:hAnsi="Arial" w:cs="Arial"/>
          <w:sz w:val="20"/>
          <w:szCs w:val="20"/>
          <w:lang w:val="es-MX" w:eastAsia="en-US"/>
        </w:rPr>
        <w:t>(3):566-74.</w:t>
      </w:r>
    </w:p>
    <w:p w:rsidR="00FC464B" w:rsidRPr="00FC464B" w:rsidRDefault="00CC3695" w:rsidP="00FC464B">
      <w:pPr>
        <w:pStyle w:val="Prrafodelista"/>
        <w:numPr>
          <w:ilvl w:val="0"/>
          <w:numId w:val="5"/>
        </w:numPr>
        <w:tabs>
          <w:tab w:val="left" w:pos="142"/>
        </w:tabs>
        <w:spacing w:after="0" w:line="240" w:lineRule="auto"/>
        <w:ind w:left="142" w:hanging="142"/>
        <w:jc w:val="both"/>
        <w:rPr>
          <w:rFonts w:ascii="Arial" w:hAnsi="Arial" w:cs="Arial"/>
          <w:sz w:val="20"/>
          <w:szCs w:val="20"/>
          <w:lang w:val="en-US"/>
        </w:rPr>
      </w:pPr>
      <w:r w:rsidRPr="00FC464B">
        <w:rPr>
          <w:rFonts w:ascii="Arial" w:hAnsi="Arial" w:cs="Arial"/>
          <w:sz w:val="20"/>
          <w:szCs w:val="20"/>
          <w:lang w:val="en-US"/>
        </w:rPr>
        <w:t xml:space="preserve">Khalid A. </w:t>
      </w:r>
      <w:r w:rsidR="00555E7A" w:rsidRPr="00FC464B">
        <w:rPr>
          <w:rFonts w:ascii="Arial" w:hAnsi="Arial" w:cs="Arial"/>
          <w:sz w:val="20"/>
          <w:szCs w:val="20"/>
          <w:lang w:val="en-US"/>
        </w:rPr>
        <w:t xml:space="preserve"> </w:t>
      </w:r>
      <w:proofErr w:type="gramStart"/>
      <w:r w:rsidR="00555E7A" w:rsidRPr="00FC464B">
        <w:rPr>
          <w:rFonts w:ascii="Arial" w:hAnsi="Arial" w:cs="Arial"/>
          <w:i/>
          <w:sz w:val="20"/>
          <w:szCs w:val="20"/>
          <w:lang w:val="en-US"/>
        </w:rPr>
        <w:t>et</w:t>
      </w:r>
      <w:proofErr w:type="gramEnd"/>
      <w:r w:rsidR="00555E7A" w:rsidRPr="00FC464B">
        <w:rPr>
          <w:rFonts w:ascii="Arial" w:hAnsi="Arial" w:cs="Arial"/>
          <w:i/>
          <w:sz w:val="20"/>
          <w:szCs w:val="20"/>
          <w:lang w:val="en-US"/>
        </w:rPr>
        <w:t xml:space="preserve"> al</w:t>
      </w:r>
      <w:r w:rsidR="00555E7A" w:rsidRPr="00FC464B">
        <w:rPr>
          <w:rFonts w:ascii="Arial" w:hAnsi="Arial" w:cs="Arial"/>
          <w:sz w:val="20"/>
          <w:szCs w:val="20"/>
          <w:lang w:val="en-US"/>
        </w:rPr>
        <w:t xml:space="preserve">., </w:t>
      </w:r>
      <w:r w:rsidRPr="00FC464B">
        <w:rPr>
          <w:rFonts w:ascii="Arial" w:hAnsi="Arial" w:cs="Arial"/>
          <w:sz w:val="20"/>
          <w:szCs w:val="20"/>
          <w:lang w:val="en-US"/>
        </w:rPr>
        <w:t>Topical corticosteroids in infants: prescribing pattern and prescribing errors in Bah</w:t>
      </w:r>
      <w:r w:rsidR="00555E7A" w:rsidRPr="00FC464B">
        <w:rPr>
          <w:rFonts w:ascii="Arial" w:hAnsi="Arial" w:cs="Arial"/>
          <w:sz w:val="20"/>
          <w:szCs w:val="20"/>
          <w:lang w:val="en-US"/>
        </w:rPr>
        <w:t xml:space="preserve">rain. </w:t>
      </w:r>
      <w:proofErr w:type="spellStart"/>
      <w:r w:rsidR="00555E7A" w:rsidRPr="00FC464B">
        <w:rPr>
          <w:rFonts w:ascii="Arial" w:hAnsi="Arial" w:cs="Arial"/>
          <w:sz w:val="20"/>
          <w:szCs w:val="20"/>
          <w:lang w:val="en-US"/>
        </w:rPr>
        <w:t>Sequeira.Pharm</w:t>
      </w:r>
      <w:proofErr w:type="spellEnd"/>
      <w:r w:rsidR="00555E7A" w:rsidRPr="00FC464B">
        <w:rPr>
          <w:rFonts w:ascii="Arial" w:hAnsi="Arial" w:cs="Arial"/>
          <w:sz w:val="20"/>
          <w:szCs w:val="20"/>
          <w:lang w:val="en-US"/>
        </w:rPr>
        <w:t xml:space="preserve"> World Sci. </w:t>
      </w:r>
      <w:r w:rsidRPr="00FC464B">
        <w:rPr>
          <w:rFonts w:ascii="Arial" w:hAnsi="Arial" w:cs="Arial"/>
          <w:sz w:val="20"/>
          <w:szCs w:val="20"/>
          <w:lang w:val="en-US"/>
        </w:rPr>
        <w:t>2007</w:t>
      </w:r>
      <w:r w:rsidR="00555E7A" w:rsidRPr="00FC464B">
        <w:rPr>
          <w:rFonts w:ascii="Arial" w:hAnsi="Arial" w:cs="Arial"/>
          <w:sz w:val="20"/>
          <w:szCs w:val="20"/>
          <w:lang w:val="en-US"/>
        </w:rPr>
        <w:t xml:space="preserve">; </w:t>
      </w:r>
      <w:r w:rsidRPr="00FC464B">
        <w:rPr>
          <w:rFonts w:ascii="Arial" w:hAnsi="Arial" w:cs="Arial"/>
          <w:sz w:val="20"/>
          <w:szCs w:val="20"/>
          <w:lang w:val="en-US"/>
        </w:rPr>
        <w:t>29:395–399.</w:t>
      </w:r>
    </w:p>
    <w:p w:rsidR="00FB05B2" w:rsidRPr="00FC464B" w:rsidRDefault="0073400D" w:rsidP="0073400D">
      <w:pPr>
        <w:pStyle w:val="Prrafodelista"/>
        <w:numPr>
          <w:ilvl w:val="0"/>
          <w:numId w:val="5"/>
        </w:numPr>
        <w:tabs>
          <w:tab w:val="left" w:pos="142"/>
        </w:tabs>
        <w:spacing w:after="0" w:line="240" w:lineRule="auto"/>
        <w:ind w:left="142" w:hanging="142"/>
        <w:jc w:val="both"/>
        <w:rPr>
          <w:rFonts w:ascii="Arial" w:hAnsi="Arial" w:cs="Arial"/>
          <w:sz w:val="20"/>
          <w:szCs w:val="20"/>
          <w:lang w:val="en-US"/>
        </w:rPr>
      </w:pPr>
      <w:proofErr w:type="spellStart"/>
      <w:r w:rsidRPr="00FC464B">
        <w:rPr>
          <w:rFonts w:ascii="Arial" w:hAnsi="Arial" w:cs="Arial"/>
          <w:sz w:val="20"/>
          <w:szCs w:val="20"/>
        </w:rPr>
        <w:t>Vatti</w:t>
      </w:r>
      <w:proofErr w:type="spellEnd"/>
      <w:r w:rsidRPr="00FC464B">
        <w:rPr>
          <w:rFonts w:ascii="Arial" w:hAnsi="Arial" w:cs="Arial"/>
          <w:sz w:val="20"/>
          <w:szCs w:val="20"/>
        </w:rPr>
        <w:t xml:space="preserve"> RR, Ali F, </w:t>
      </w:r>
      <w:proofErr w:type="spellStart"/>
      <w:r w:rsidRPr="00FC464B">
        <w:rPr>
          <w:rFonts w:ascii="Arial" w:hAnsi="Arial" w:cs="Arial"/>
          <w:sz w:val="20"/>
          <w:szCs w:val="20"/>
        </w:rPr>
        <w:t>Teuber</w:t>
      </w:r>
      <w:proofErr w:type="spellEnd"/>
      <w:r w:rsidRPr="00FC464B">
        <w:rPr>
          <w:rFonts w:ascii="Arial" w:hAnsi="Arial" w:cs="Arial"/>
          <w:sz w:val="20"/>
          <w:szCs w:val="20"/>
        </w:rPr>
        <w:t xml:space="preserve"> S, Chang C, Gershwin ME. </w:t>
      </w:r>
      <w:proofErr w:type="spellStart"/>
      <w:r w:rsidR="00CC3695" w:rsidRPr="00FC464B">
        <w:rPr>
          <w:rFonts w:ascii="Arial" w:hAnsi="Arial" w:cs="Arial"/>
          <w:sz w:val="20"/>
          <w:szCs w:val="20"/>
        </w:rPr>
        <w:t>Hypersensitivity</w:t>
      </w:r>
      <w:proofErr w:type="spellEnd"/>
      <w:r w:rsidR="00CC3695" w:rsidRPr="00FC464B">
        <w:rPr>
          <w:rFonts w:ascii="Arial" w:hAnsi="Arial" w:cs="Arial"/>
          <w:sz w:val="20"/>
          <w:szCs w:val="20"/>
        </w:rPr>
        <w:t xml:space="preserve"> </w:t>
      </w:r>
      <w:proofErr w:type="spellStart"/>
      <w:r w:rsidR="00CC3695" w:rsidRPr="00FC464B">
        <w:rPr>
          <w:rFonts w:ascii="Arial" w:hAnsi="Arial" w:cs="Arial"/>
          <w:sz w:val="20"/>
          <w:szCs w:val="20"/>
        </w:rPr>
        <w:t>Reactions</w:t>
      </w:r>
      <w:proofErr w:type="spellEnd"/>
      <w:r w:rsidR="00CC3695" w:rsidRPr="00FC464B">
        <w:rPr>
          <w:rFonts w:ascii="Arial" w:hAnsi="Arial" w:cs="Arial"/>
          <w:sz w:val="20"/>
          <w:szCs w:val="20"/>
        </w:rPr>
        <w:t xml:space="preserve"> to </w:t>
      </w:r>
      <w:proofErr w:type="spellStart"/>
      <w:r w:rsidR="00CC3695" w:rsidRPr="00FC464B">
        <w:rPr>
          <w:rFonts w:ascii="Arial" w:hAnsi="Arial" w:cs="Arial"/>
          <w:sz w:val="20"/>
          <w:szCs w:val="20"/>
        </w:rPr>
        <w:t>Corticosteroids</w:t>
      </w:r>
      <w:proofErr w:type="spellEnd"/>
      <w:r w:rsidR="00CC3695" w:rsidRPr="00FC464B">
        <w:rPr>
          <w:rFonts w:ascii="Arial" w:hAnsi="Arial" w:cs="Arial"/>
          <w:sz w:val="20"/>
          <w:szCs w:val="20"/>
        </w:rPr>
        <w:t>.</w:t>
      </w:r>
      <w:r w:rsidR="00555E7A" w:rsidRPr="00FC464B">
        <w:rPr>
          <w:rFonts w:ascii="Arial" w:hAnsi="Arial" w:cs="Arial"/>
          <w:sz w:val="20"/>
          <w:szCs w:val="20"/>
        </w:rPr>
        <w:t xml:space="preserve"> </w:t>
      </w:r>
      <w:proofErr w:type="spellStart"/>
      <w:r w:rsidR="00CC3695" w:rsidRPr="00FC464B">
        <w:rPr>
          <w:rFonts w:ascii="Arial" w:hAnsi="Arial" w:cs="Arial"/>
          <w:sz w:val="20"/>
          <w:szCs w:val="20"/>
        </w:rPr>
        <w:t>Clinic</w:t>
      </w:r>
      <w:proofErr w:type="spellEnd"/>
      <w:r w:rsidR="00CC3695" w:rsidRPr="00FC464B">
        <w:rPr>
          <w:rFonts w:ascii="Arial" w:hAnsi="Arial" w:cs="Arial"/>
          <w:sz w:val="20"/>
          <w:szCs w:val="20"/>
        </w:rPr>
        <w:t xml:space="preserve"> </w:t>
      </w:r>
      <w:proofErr w:type="spellStart"/>
      <w:r w:rsidR="00CC3695" w:rsidRPr="00FC464B">
        <w:rPr>
          <w:rFonts w:ascii="Arial" w:hAnsi="Arial" w:cs="Arial"/>
          <w:sz w:val="20"/>
          <w:szCs w:val="20"/>
        </w:rPr>
        <w:t>Rev</w:t>
      </w:r>
      <w:proofErr w:type="spellEnd"/>
      <w:r w:rsidR="00CC3695" w:rsidRPr="00FC464B">
        <w:rPr>
          <w:rFonts w:ascii="Arial" w:hAnsi="Arial" w:cs="Arial"/>
          <w:sz w:val="20"/>
          <w:szCs w:val="20"/>
        </w:rPr>
        <w:t xml:space="preserve"> </w:t>
      </w:r>
      <w:proofErr w:type="spellStart"/>
      <w:r w:rsidR="00CC3695" w:rsidRPr="00FC464B">
        <w:rPr>
          <w:rFonts w:ascii="Arial" w:hAnsi="Arial" w:cs="Arial"/>
          <w:sz w:val="20"/>
          <w:szCs w:val="20"/>
        </w:rPr>
        <w:t>AllergImmunol</w:t>
      </w:r>
      <w:proofErr w:type="spellEnd"/>
      <w:r w:rsidR="00CC3695" w:rsidRPr="00FC464B">
        <w:rPr>
          <w:rFonts w:ascii="Arial" w:hAnsi="Arial" w:cs="Arial"/>
          <w:sz w:val="20"/>
          <w:szCs w:val="20"/>
        </w:rPr>
        <w:t>. 2013. 1-12.</w:t>
      </w:r>
    </w:p>
    <w:p w:rsidR="0073400D" w:rsidRPr="00FC464B" w:rsidRDefault="0073400D" w:rsidP="00FC464B">
      <w:pPr>
        <w:tabs>
          <w:tab w:val="left" w:pos="142"/>
        </w:tabs>
        <w:jc w:val="both"/>
        <w:rPr>
          <w:rFonts w:ascii="Arial" w:hAnsi="Arial" w:cs="Arial"/>
          <w:sz w:val="20"/>
          <w:szCs w:val="20"/>
        </w:rPr>
      </w:pPr>
    </w:p>
    <w:sectPr w:rsidR="0073400D" w:rsidRPr="00FC464B" w:rsidSect="0097467D">
      <w:headerReference w:type="default" r:id="rId15"/>
      <w:footerReference w:type="default" r:id="rId16"/>
      <w:pgSz w:w="12240" w:h="15840" w:code="1"/>
      <w:pgMar w:top="2552" w:right="1701" w:bottom="1701"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5E" w:rsidRDefault="00F7295E">
      <w:r>
        <w:separator/>
      </w:r>
    </w:p>
  </w:endnote>
  <w:endnote w:type="continuationSeparator" w:id="0">
    <w:p w:rsidR="00F7295E" w:rsidRDefault="00F7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14" w:rsidRPr="004519FB" w:rsidRDefault="000A7231">
    <w:pPr>
      <w:pStyle w:val="Piedepgina"/>
      <w:jc w:val="center"/>
      <w:rPr>
        <w:rFonts w:ascii="Arial" w:hAnsi="Arial" w:cs="Arial"/>
        <w:i/>
        <w:sz w:val="20"/>
        <w:szCs w:val="20"/>
      </w:rPr>
    </w:pPr>
    <w:r w:rsidRPr="004519FB">
      <w:rPr>
        <w:rFonts w:ascii="Arial" w:hAnsi="Arial" w:cs="Arial"/>
        <w:i/>
        <w:sz w:val="20"/>
        <w:szCs w:val="20"/>
      </w:rPr>
      <w:fldChar w:fldCharType="begin"/>
    </w:r>
    <w:r w:rsidR="00DB5E14" w:rsidRPr="004519FB">
      <w:rPr>
        <w:rFonts w:ascii="Arial" w:hAnsi="Arial" w:cs="Arial"/>
        <w:i/>
        <w:sz w:val="20"/>
        <w:szCs w:val="20"/>
      </w:rPr>
      <w:instrText xml:space="preserve"> </w:instrText>
    </w:r>
    <w:r w:rsidR="00C905CD">
      <w:rPr>
        <w:rFonts w:ascii="Arial" w:hAnsi="Arial" w:cs="Arial"/>
        <w:i/>
        <w:sz w:val="20"/>
        <w:szCs w:val="20"/>
      </w:rPr>
      <w:instrText>PAGE</w:instrText>
    </w:r>
    <w:r w:rsidR="00DB5E14" w:rsidRPr="004519FB">
      <w:rPr>
        <w:rFonts w:ascii="Arial" w:hAnsi="Arial" w:cs="Arial"/>
        <w:i/>
        <w:sz w:val="20"/>
        <w:szCs w:val="20"/>
      </w:rPr>
      <w:instrText xml:space="preserve">   \* MERGEFORMAT </w:instrText>
    </w:r>
    <w:r w:rsidRPr="004519FB">
      <w:rPr>
        <w:rFonts w:ascii="Arial" w:hAnsi="Arial" w:cs="Arial"/>
        <w:i/>
        <w:sz w:val="20"/>
        <w:szCs w:val="20"/>
      </w:rPr>
      <w:fldChar w:fldCharType="separate"/>
    </w:r>
    <w:r w:rsidR="00322585">
      <w:rPr>
        <w:rFonts w:ascii="Arial" w:hAnsi="Arial" w:cs="Arial"/>
        <w:i/>
        <w:noProof/>
        <w:sz w:val="20"/>
        <w:szCs w:val="20"/>
      </w:rPr>
      <w:t>7</w:t>
    </w:r>
    <w:r w:rsidRPr="004519FB">
      <w:rPr>
        <w:rFonts w:ascii="Arial" w:hAnsi="Arial" w:cs="Arial"/>
        <w:i/>
        <w:sz w:val="20"/>
        <w:szCs w:val="20"/>
      </w:rPr>
      <w:fldChar w:fldCharType="end"/>
    </w:r>
  </w:p>
  <w:p w:rsidR="00DB5E14" w:rsidRDefault="00DB5E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5E" w:rsidRDefault="00F7295E">
      <w:r>
        <w:separator/>
      </w:r>
    </w:p>
  </w:footnote>
  <w:footnote w:type="continuationSeparator" w:id="0">
    <w:p w:rsidR="00F7295E" w:rsidRDefault="00F72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14" w:rsidRDefault="00E42654">
    <w:pPr>
      <w:pStyle w:val="Encabezado"/>
    </w:pPr>
    <w:r>
      <w:rPr>
        <w:noProof/>
        <w:lang w:val="es-MX" w:eastAsia="es-MX"/>
      </w:rPr>
      <w:drawing>
        <wp:anchor distT="0" distB="0" distL="114300" distR="114300" simplePos="0" relativeHeight="251658240" behindDoc="0" locked="0" layoutInCell="1" allowOverlap="1">
          <wp:simplePos x="0" y="0"/>
          <wp:positionH relativeFrom="column">
            <wp:posOffset>17217</wp:posOffset>
          </wp:positionH>
          <wp:positionV relativeFrom="paragraph">
            <wp:posOffset>-1641</wp:posOffset>
          </wp:positionV>
          <wp:extent cx="5605373" cy="1155939"/>
          <wp:effectExtent l="19050" t="0" r="0" b="0"/>
          <wp:wrapSquare wrapText="bothSides"/>
          <wp:docPr id="1" name="Imagen 1" descr="cintillo_GR_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_GR_xi"/>
                  <pic:cNvPicPr>
                    <a:picLocks noChangeAspect="1" noChangeArrowheads="1"/>
                  </pic:cNvPicPr>
                </pic:nvPicPr>
                <pic:blipFill>
                  <a:blip r:embed="rId1"/>
                  <a:srcRect/>
                  <a:stretch>
                    <a:fillRect/>
                  </a:stretch>
                </pic:blipFill>
                <pic:spPr bwMode="auto">
                  <a:xfrm>
                    <a:off x="0" y="0"/>
                    <a:ext cx="5605373" cy="115593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B0E8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202D12"/>
    <w:multiLevelType w:val="hybridMultilevel"/>
    <w:tmpl w:val="6C4C33AE"/>
    <w:lvl w:ilvl="0" w:tplc="BC32627C">
      <w:start w:val="1"/>
      <w:numFmt w:val="bullet"/>
      <w:lvlText w:val="−"/>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A801A33"/>
    <w:multiLevelType w:val="hybridMultilevel"/>
    <w:tmpl w:val="C95680C4"/>
    <w:lvl w:ilvl="0" w:tplc="DA580E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E63E0B"/>
    <w:multiLevelType w:val="hybridMultilevel"/>
    <w:tmpl w:val="EAF8F266"/>
    <w:lvl w:ilvl="0" w:tplc="744E58C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DD94D13"/>
    <w:multiLevelType w:val="hybridMultilevel"/>
    <w:tmpl w:val="1D52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91"/>
    <w:rsid w:val="000232E4"/>
    <w:rsid w:val="00036E5B"/>
    <w:rsid w:val="00065B53"/>
    <w:rsid w:val="00094209"/>
    <w:rsid w:val="000A17F9"/>
    <w:rsid w:val="000A2CB6"/>
    <w:rsid w:val="000A7231"/>
    <w:rsid w:val="000B581E"/>
    <w:rsid w:val="000E11FF"/>
    <w:rsid w:val="000E7A46"/>
    <w:rsid w:val="0016647E"/>
    <w:rsid w:val="00173560"/>
    <w:rsid w:val="001A0C39"/>
    <w:rsid w:val="001E2699"/>
    <w:rsid w:val="001F1944"/>
    <w:rsid w:val="001F1A0B"/>
    <w:rsid w:val="00206AB4"/>
    <w:rsid w:val="00223A0F"/>
    <w:rsid w:val="002249BA"/>
    <w:rsid w:val="00236307"/>
    <w:rsid w:val="00237332"/>
    <w:rsid w:val="00241494"/>
    <w:rsid w:val="00255A77"/>
    <w:rsid w:val="002609F9"/>
    <w:rsid w:val="00265FDC"/>
    <w:rsid w:val="00296A49"/>
    <w:rsid w:val="002A6F42"/>
    <w:rsid w:val="002B0708"/>
    <w:rsid w:val="002E2ED5"/>
    <w:rsid w:val="00303843"/>
    <w:rsid w:val="0031201A"/>
    <w:rsid w:val="00314DD1"/>
    <w:rsid w:val="00316547"/>
    <w:rsid w:val="00322585"/>
    <w:rsid w:val="00331F54"/>
    <w:rsid w:val="00332C81"/>
    <w:rsid w:val="00344496"/>
    <w:rsid w:val="00363C76"/>
    <w:rsid w:val="00367CC2"/>
    <w:rsid w:val="0037411A"/>
    <w:rsid w:val="00377BF9"/>
    <w:rsid w:val="003908E8"/>
    <w:rsid w:val="003A0642"/>
    <w:rsid w:val="003B3B89"/>
    <w:rsid w:val="003B6584"/>
    <w:rsid w:val="003C41C9"/>
    <w:rsid w:val="003D102E"/>
    <w:rsid w:val="003E2741"/>
    <w:rsid w:val="003F44F1"/>
    <w:rsid w:val="003F6315"/>
    <w:rsid w:val="0040349A"/>
    <w:rsid w:val="0040410E"/>
    <w:rsid w:val="004201C4"/>
    <w:rsid w:val="004205AE"/>
    <w:rsid w:val="00447213"/>
    <w:rsid w:val="004519FB"/>
    <w:rsid w:val="004526B5"/>
    <w:rsid w:val="0046412A"/>
    <w:rsid w:val="004A087F"/>
    <w:rsid w:val="004A686C"/>
    <w:rsid w:val="004B3D9C"/>
    <w:rsid w:val="004C0933"/>
    <w:rsid w:val="004D5003"/>
    <w:rsid w:val="004E0973"/>
    <w:rsid w:val="004E5680"/>
    <w:rsid w:val="0053026F"/>
    <w:rsid w:val="00551D6E"/>
    <w:rsid w:val="00555E7A"/>
    <w:rsid w:val="00556ACF"/>
    <w:rsid w:val="005609D7"/>
    <w:rsid w:val="00566171"/>
    <w:rsid w:val="00571096"/>
    <w:rsid w:val="00590243"/>
    <w:rsid w:val="0059220D"/>
    <w:rsid w:val="005A1732"/>
    <w:rsid w:val="005A2F03"/>
    <w:rsid w:val="005A7E06"/>
    <w:rsid w:val="005B7971"/>
    <w:rsid w:val="005E3881"/>
    <w:rsid w:val="005E5FAE"/>
    <w:rsid w:val="005F772D"/>
    <w:rsid w:val="006157C5"/>
    <w:rsid w:val="0061677F"/>
    <w:rsid w:val="006171CC"/>
    <w:rsid w:val="00620D38"/>
    <w:rsid w:val="00627629"/>
    <w:rsid w:val="00636080"/>
    <w:rsid w:val="006418A1"/>
    <w:rsid w:val="00644E11"/>
    <w:rsid w:val="00666563"/>
    <w:rsid w:val="00671F98"/>
    <w:rsid w:val="006927D3"/>
    <w:rsid w:val="006A4E91"/>
    <w:rsid w:val="006E16C0"/>
    <w:rsid w:val="006E3715"/>
    <w:rsid w:val="0070354A"/>
    <w:rsid w:val="00715427"/>
    <w:rsid w:val="0071590F"/>
    <w:rsid w:val="00715B15"/>
    <w:rsid w:val="0073328E"/>
    <w:rsid w:val="0073400D"/>
    <w:rsid w:val="00767B02"/>
    <w:rsid w:val="00777F6B"/>
    <w:rsid w:val="00796ABA"/>
    <w:rsid w:val="007A0E25"/>
    <w:rsid w:val="007A57D9"/>
    <w:rsid w:val="007C16C2"/>
    <w:rsid w:val="007C2DBB"/>
    <w:rsid w:val="007D647C"/>
    <w:rsid w:val="007E7910"/>
    <w:rsid w:val="007F5904"/>
    <w:rsid w:val="007F7FAD"/>
    <w:rsid w:val="0081370B"/>
    <w:rsid w:val="00854161"/>
    <w:rsid w:val="00855243"/>
    <w:rsid w:val="00871918"/>
    <w:rsid w:val="00880D4C"/>
    <w:rsid w:val="0088236A"/>
    <w:rsid w:val="008851D9"/>
    <w:rsid w:val="008A2B03"/>
    <w:rsid w:val="008A4C3F"/>
    <w:rsid w:val="008A6E72"/>
    <w:rsid w:val="008B1989"/>
    <w:rsid w:val="008C53F8"/>
    <w:rsid w:val="008C5F81"/>
    <w:rsid w:val="008F1D53"/>
    <w:rsid w:val="00901F6F"/>
    <w:rsid w:val="009110E4"/>
    <w:rsid w:val="009263A8"/>
    <w:rsid w:val="00946AF5"/>
    <w:rsid w:val="009529DF"/>
    <w:rsid w:val="00955D1E"/>
    <w:rsid w:val="009571E1"/>
    <w:rsid w:val="0096489F"/>
    <w:rsid w:val="009738D4"/>
    <w:rsid w:val="0097467D"/>
    <w:rsid w:val="00976D6A"/>
    <w:rsid w:val="00984011"/>
    <w:rsid w:val="00990EF9"/>
    <w:rsid w:val="009B09D7"/>
    <w:rsid w:val="009B2F7E"/>
    <w:rsid w:val="009C45F7"/>
    <w:rsid w:val="009E2E86"/>
    <w:rsid w:val="009E65A7"/>
    <w:rsid w:val="00A0295B"/>
    <w:rsid w:val="00A21465"/>
    <w:rsid w:val="00A36151"/>
    <w:rsid w:val="00A47FD4"/>
    <w:rsid w:val="00A531D3"/>
    <w:rsid w:val="00A631AD"/>
    <w:rsid w:val="00A8284F"/>
    <w:rsid w:val="00A828F0"/>
    <w:rsid w:val="00A87997"/>
    <w:rsid w:val="00A92667"/>
    <w:rsid w:val="00AA208C"/>
    <w:rsid w:val="00AB5740"/>
    <w:rsid w:val="00AD11E5"/>
    <w:rsid w:val="00AE624F"/>
    <w:rsid w:val="00AF2E08"/>
    <w:rsid w:val="00AF424A"/>
    <w:rsid w:val="00B14DEE"/>
    <w:rsid w:val="00B24164"/>
    <w:rsid w:val="00B3148C"/>
    <w:rsid w:val="00B375B2"/>
    <w:rsid w:val="00B44AC7"/>
    <w:rsid w:val="00B75C99"/>
    <w:rsid w:val="00B83384"/>
    <w:rsid w:val="00B860A5"/>
    <w:rsid w:val="00BA6AC2"/>
    <w:rsid w:val="00BA782B"/>
    <w:rsid w:val="00BB7549"/>
    <w:rsid w:val="00BC4483"/>
    <w:rsid w:val="00BC5B4F"/>
    <w:rsid w:val="00BF4872"/>
    <w:rsid w:val="00C03DDA"/>
    <w:rsid w:val="00C05D9C"/>
    <w:rsid w:val="00C42B20"/>
    <w:rsid w:val="00C57E60"/>
    <w:rsid w:val="00C601F3"/>
    <w:rsid w:val="00C662E5"/>
    <w:rsid w:val="00C82D87"/>
    <w:rsid w:val="00C905CD"/>
    <w:rsid w:val="00C92B82"/>
    <w:rsid w:val="00C93852"/>
    <w:rsid w:val="00C97046"/>
    <w:rsid w:val="00CB6223"/>
    <w:rsid w:val="00CC3695"/>
    <w:rsid w:val="00CE7C10"/>
    <w:rsid w:val="00CF297E"/>
    <w:rsid w:val="00CF344F"/>
    <w:rsid w:val="00D01985"/>
    <w:rsid w:val="00D103BE"/>
    <w:rsid w:val="00D10CEF"/>
    <w:rsid w:val="00D230A7"/>
    <w:rsid w:val="00D30103"/>
    <w:rsid w:val="00D358C3"/>
    <w:rsid w:val="00D52A11"/>
    <w:rsid w:val="00D541E5"/>
    <w:rsid w:val="00D84B57"/>
    <w:rsid w:val="00DB5E14"/>
    <w:rsid w:val="00DE53D8"/>
    <w:rsid w:val="00DF0D61"/>
    <w:rsid w:val="00DF68B1"/>
    <w:rsid w:val="00E03DA1"/>
    <w:rsid w:val="00E13DB2"/>
    <w:rsid w:val="00E24078"/>
    <w:rsid w:val="00E27E68"/>
    <w:rsid w:val="00E3220D"/>
    <w:rsid w:val="00E42654"/>
    <w:rsid w:val="00E51B5B"/>
    <w:rsid w:val="00E60A5C"/>
    <w:rsid w:val="00E67ACF"/>
    <w:rsid w:val="00E87DE2"/>
    <w:rsid w:val="00EA5D15"/>
    <w:rsid w:val="00EB4115"/>
    <w:rsid w:val="00EB7524"/>
    <w:rsid w:val="00EC37FE"/>
    <w:rsid w:val="00ED6B32"/>
    <w:rsid w:val="00EF0B79"/>
    <w:rsid w:val="00F0098A"/>
    <w:rsid w:val="00F04E5F"/>
    <w:rsid w:val="00F10F0C"/>
    <w:rsid w:val="00F1577F"/>
    <w:rsid w:val="00F23174"/>
    <w:rsid w:val="00F36497"/>
    <w:rsid w:val="00F467AF"/>
    <w:rsid w:val="00F5284D"/>
    <w:rsid w:val="00F675F1"/>
    <w:rsid w:val="00F703E0"/>
    <w:rsid w:val="00F7295E"/>
    <w:rsid w:val="00F7602F"/>
    <w:rsid w:val="00F82919"/>
    <w:rsid w:val="00FA33B9"/>
    <w:rsid w:val="00FA3AF2"/>
    <w:rsid w:val="00FA6E8E"/>
    <w:rsid w:val="00FB05B2"/>
    <w:rsid w:val="00FC003D"/>
    <w:rsid w:val="00FC464B"/>
    <w:rsid w:val="00FF02B9"/>
    <w:rsid w:val="00FF2E4B"/>
    <w:rsid w:val="00FF4E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66AC870-E1DB-4AFB-8CE1-16C0D78D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171"/>
    <w:rPr>
      <w:sz w:val="24"/>
      <w:szCs w:val="24"/>
      <w:lang w:val="en-US" w:eastAsia="en-US"/>
    </w:rPr>
  </w:style>
  <w:style w:type="paragraph" w:styleId="Ttulo1">
    <w:name w:val="heading 1"/>
    <w:basedOn w:val="Normal"/>
    <w:next w:val="Normal"/>
    <w:link w:val="Ttulo1Car"/>
    <w:uiPriority w:val="9"/>
    <w:qFormat/>
    <w:rsid w:val="003B3B89"/>
    <w:pPr>
      <w:keepNext/>
      <w:keepLines/>
      <w:spacing w:before="240" w:line="259" w:lineRule="auto"/>
      <w:outlineLvl w:val="0"/>
    </w:pPr>
    <w:rPr>
      <w:rFonts w:ascii="Calibri Light" w:hAnsi="Calibri Light"/>
      <w:color w:val="2E74B5"/>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basedOn w:val="Normal"/>
    <w:qFormat/>
    <w:rsid w:val="00050931"/>
    <w:pPr>
      <w:tabs>
        <w:tab w:val="left" w:pos="1260"/>
        <w:tab w:val="left" w:pos="9521"/>
      </w:tabs>
      <w:jc w:val="center"/>
    </w:pPr>
    <w:rPr>
      <w:rFonts w:ascii="Arial" w:hAnsi="Arial"/>
      <w:b/>
      <w:lang w:val="es-ES"/>
    </w:rPr>
  </w:style>
  <w:style w:type="character" w:styleId="Hipervnculo">
    <w:name w:val="Hyperlink"/>
    <w:rsid w:val="0027070B"/>
    <w:rPr>
      <w:strike w:val="0"/>
      <w:dstrike w:val="0"/>
      <w:color w:val="333366"/>
      <w:u w:val="none"/>
      <w:effect w:val="none"/>
    </w:rPr>
  </w:style>
  <w:style w:type="character" w:customStyle="1" w:styleId="eudoraheader">
    <w:name w:val="eudoraheader"/>
    <w:basedOn w:val="Fuentedeprrafopredeter"/>
    <w:rsid w:val="0027070B"/>
  </w:style>
  <w:style w:type="character" w:styleId="Textoennegrita">
    <w:name w:val="Strong"/>
    <w:qFormat/>
    <w:rsid w:val="0027070B"/>
    <w:rPr>
      <w:b/>
      <w:bCs/>
    </w:rPr>
  </w:style>
  <w:style w:type="paragraph" w:customStyle="1" w:styleId="BodyofPaper">
    <w:name w:val="*Body of Paper*"/>
    <w:basedOn w:val="Normal"/>
    <w:rsid w:val="005E5FAE"/>
    <w:pPr>
      <w:overflowPunct w:val="0"/>
      <w:autoSpaceDE w:val="0"/>
      <w:autoSpaceDN w:val="0"/>
      <w:adjustRightInd w:val="0"/>
      <w:jc w:val="both"/>
      <w:textAlignment w:val="baseline"/>
    </w:pPr>
    <w:rPr>
      <w:sz w:val="20"/>
      <w:szCs w:val="20"/>
    </w:rPr>
  </w:style>
  <w:style w:type="paragraph" w:customStyle="1" w:styleId="PrincipalHding">
    <w:name w:val="*Principal Hding*"/>
    <w:basedOn w:val="Normal"/>
    <w:next w:val="BodyofPaper"/>
    <w:rsid w:val="005E5FAE"/>
    <w:pPr>
      <w:overflowPunct w:val="0"/>
      <w:autoSpaceDE w:val="0"/>
      <w:autoSpaceDN w:val="0"/>
      <w:adjustRightInd w:val="0"/>
      <w:jc w:val="center"/>
      <w:textAlignment w:val="baseline"/>
    </w:pPr>
    <w:rPr>
      <w:b/>
      <w:caps/>
      <w:sz w:val="22"/>
      <w:szCs w:val="20"/>
    </w:rPr>
  </w:style>
  <w:style w:type="paragraph" w:customStyle="1" w:styleId="ReferenceNums">
    <w:name w:val="*Reference Nums*"/>
    <w:basedOn w:val="Normal"/>
    <w:rsid w:val="005E5FAE"/>
    <w:pPr>
      <w:overflowPunct w:val="0"/>
      <w:autoSpaceDE w:val="0"/>
      <w:autoSpaceDN w:val="0"/>
      <w:adjustRightInd w:val="0"/>
      <w:ind w:left="360" w:hanging="360"/>
      <w:textAlignment w:val="baseline"/>
    </w:pPr>
    <w:rPr>
      <w:sz w:val="20"/>
      <w:szCs w:val="20"/>
    </w:rPr>
  </w:style>
  <w:style w:type="paragraph" w:styleId="Textoindependiente">
    <w:name w:val="Body Text"/>
    <w:basedOn w:val="Normal"/>
    <w:rsid w:val="005E5FAE"/>
    <w:rPr>
      <w:szCs w:val="20"/>
      <w:lang w:val="es-MX" w:eastAsia="es-ES"/>
    </w:rPr>
  </w:style>
  <w:style w:type="paragraph" w:styleId="Encabezado">
    <w:name w:val="header"/>
    <w:basedOn w:val="Normal"/>
    <w:rsid w:val="00A631AD"/>
    <w:pPr>
      <w:tabs>
        <w:tab w:val="center" w:pos="4419"/>
        <w:tab w:val="right" w:pos="8838"/>
      </w:tabs>
    </w:pPr>
  </w:style>
  <w:style w:type="paragraph" w:styleId="Piedepgina">
    <w:name w:val="footer"/>
    <w:basedOn w:val="Normal"/>
    <w:link w:val="PiedepginaCar"/>
    <w:uiPriority w:val="99"/>
    <w:rsid w:val="00A631AD"/>
    <w:pPr>
      <w:tabs>
        <w:tab w:val="center" w:pos="4419"/>
        <w:tab w:val="right" w:pos="8838"/>
      </w:tabs>
    </w:pPr>
  </w:style>
  <w:style w:type="character" w:customStyle="1" w:styleId="PiedepginaCar">
    <w:name w:val="Pie de página Car"/>
    <w:link w:val="Piedepgina"/>
    <w:uiPriority w:val="99"/>
    <w:rsid w:val="00B375B2"/>
    <w:rPr>
      <w:sz w:val="24"/>
      <w:szCs w:val="24"/>
      <w:lang w:val="en-US" w:eastAsia="en-US"/>
    </w:rPr>
  </w:style>
  <w:style w:type="character" w:customStyle="1" w:styleId="Ttulo1Car">
    <w:name w:val="Título 1 Car"/>
    <w:link w:val="Ttulo1"/>
    <w:uiPriority w:val="9"/>
    <w:rsid w:val="003B3B89"/>
    <w:rPr>
      <w:rFonts w:ascii="Calibri Light" w:hAnsi="Calibri Light"/>
      <w:color w:val="2E74B5"/>
      <w:sz w:val="32"/>
      <w:szCs w:val="32"/>
      <w:lang w:eastAsia="en-US"/>
    </w:rPr>
  </w:style>
  <w:style w:type="paragraph" w:customStyle="1" w:styleId="ecxmsonormal">
    <w:name w:val="ecxmsonormal"/>
    <w:basedOn w:val="Normal"/>
    <w:rsid w:val="003B3B89"/>
    <w:pPr>
      <w:spacing w:before="100" w:beforeAutospacing="1" w:after="100" w:afterAutospacing="1"/>
    </w:pPr>
    <w:rPr>
      <w:lang w:val="es-MX" w:eastAsia="es-MX"/>
    </w:rPr>
  </w:style>
  <w:style w:type="character" w:customStyle="1" w:styleId="apple-converted-space">
    <w:name w:val="apple-converted-space"/>
    <w:rsid w:val="003B3B89"/>
  </w:style>
  <w:style w:type="paragraph" w:styleId="NormalWeb">
    <w:name w:val="Normal (Web)"/>
    <w:basedOn w:val="Normal"/>
    <w:uiPriority w:val="99"/>
    <w:unhideWhenUsed/>
    <w:rsid w:val="003B3B89"/>
    <w:pPr>
      <w:spacing w:before="100" w:beforeAutospacing="1" w:after="100" w:afterAutospacing="1"/>
    </w:pPr>
    <w:rPr>
      <w:lang w:val="es-MX" w:eastAsia="es-MX"/>
    </w:rPr>
  </w:style>
  <w:style w:type="paragraph" w:styleId="Sinespaciado">
    <w:name w:val="No Spacing"/>
    <w:uiPriority w:val="1"/>
    <w:qFormat/>
    <w:rsid w:val="004E0973"/>
    <w:rPr>
      <w:rFonts w:ascii="Calibri" w:eastAsia="Calibri" w:hAnsi="Calibri"/>
      <w:sz w:val="22"/>
      <w:szCs w:val="22"/>
      <w:lang w:eastAsia="en-US"/>
    </w:rPr>
  </w:style>
  <w:style w:type="paragraph" w:styleId="Prrafodelista">
    <w:name w:val="List Paragraph"/>
    <w:basedOn w:val="Normal"/>
    <w:uiPriority w:val="34"/>
    <w:qFormat/>
    <w:rsid w:val="00CC3695"/>
    <w:pPr>
      <w:spacing w:after="200" w:line="276" w:lineRule="auto"/>
      <w:ind w:left="720"/>
      <w:contextualSpacing/>
    </w:pPr>
    <w:rPr>
      <w:rFonts w:ascii="Calibri" w:hAnsi="Calibri"/>
      <w:sz w:val="22"/>
      <w:szCs w:val="22"/>
      <w:lang w:val="es-ES" w:eastAsia="es-ES"/>
    </w:rPr>
  </w:style>
  <w:style w:type="paragraph" w:customStyle="1" w:styleId="Sangra2detindependiente1">
    <w:name w:val="Sangría 2 de t. independiente1"/>
    <w:basedOn w:val="Normal"/>
    <w:rsid w:val="00CC3695"/>
    <w:pPr>
      <w:widowControl w:val="0"/>
      <w:overflowPunct w:val="0"/>
      <w:autoSpaceDE w:val="0"/>
      <w:autoSpaceDN w:val="0"/>
      <w:adjustRightInd w:val="0"/>
      <w:spacing w:line="360" w:lineRule="auto"/>
      <w:ind w:left="360" w:hanging="360"/>
      <w:jc w:val="both"/>
      <w:textAlignment w:val="baseline"/>
    </w:pPr>
    <w:rPr>
      <w:rFonts w:ascii="Arial" w:hAnsi="Arial"/>
      <w:szCs w:val="20"/>
      <w:lang w:val="es-ES" w:eastAsia="es-MX"/>
    </w:rPr>
  </w:style>
  <w:style w:type="paragraph" w:customStyle="1" w:styleId="Textoindependiente31">
    <w:name w:val="Texto independiente 31"/>
    <w:basedOn w:val="Normal"/>
    <w:rsid w:val="00CC3695"/>
    <w:pPr>
      <w:widowControl w:val="0"/>
      <w:overflowPunct w:val="0"/>
      <w:autoSpaceDE w:val="0"/>
      <w:autoSpaceDN w:val="0"/>
      <w:adjustRightInd w:val="0"/>
      <w:spacing w:line="480" w:lineRule="auto"/>
      <w:ind w:right="49"/>
      <w:jc w:val="both"/>
      <w:textAlignment w:val="baseline"/>
    </w:pPr>
    <w:rPr>
      <w:rFonts w:ascii="Arial" w:hAnsi="Arial"/>
      <w:szCs w:val="20"/>
      <w:lang w:val="es-ES" w:eastAsia="es-MX"/>
    </w:rPr>
  </w:style>
  <w:style w:type="paragraph" w:styleId="Textodeglobo">
    <w:name w:val="Balloon Text"/>
    <w:basedOn w:val="Normal"/>
    <w:link w:val="TextodegloboCar"/>
    <w:rsid w:val="00796ABA"/>
    <w:rPr>
      <w:rFonts w:ascii="Tahoma" w:hAnsi="Tahoma" w:cs="Tahoma"/>
      <w:sz w:val="16"/>
      <w:szCs w:val="16"/>
    </w:rPr>
  </w:style>
  <w:style w:type="character" w:customStyle="1" w:styleId="TextodegloboCar">
    <w:name w:val="Texto de globo Car"/>
    <w:basedOn w:val="Fuentedeprrafopredeter"/>
    <w:link w:val="Textodeglobo"/>
    <w:rsid w:val="00796ABA"/>
    <w:rPr>
      <w:rFonts w:ascii="Tahoma" w:hAnsi="Tahoma" w:cs="Tahoma"/>
      <w:sz w:val="16"/>
      <w:szCs w:val="16"/>
      <w:lang w:val="en-US" w:eastAsia="en-US"/>
    </w:rPr>
  </w:style>
  <w:style w:type="paragraph" w:customStyle="1" w:styleId="Puesto2">
    <w:name w:val="Puesto2"/>
    <w:basedOn w:val="Normal"/>
    <w:rsid w:val="00FA6E8E"/>
    <w:pPr>
      <w:spacing w:before="100" w:beforeAutospacing="1" w:after="100" w:afterAutospacing="1"/>
    </w:pPr>
    <w:rPr>
      <w:lang w:val="es-MX" w:eastAsia="es-MX"/>
    </w:rPr>
  </w:style>
  <w:style w:type="paragraph" w:customStyle="1" w:styleId="desc">
    <w:name w:val="desc"/>
    <w:basedOn w:val="Normal"/>
    <w:rsid w:val="00FA6E8E"/>
    <w:pPr>
      <w:spacing w:before="100" w:beforeAutospacing="1" w:after="100" w:afterAutospacing="1"/>
    </w:pPr>
    <w:rPr>
      <w:lang w:val="es-MX" w:eastAsia="es-MX"/>
    </w:rPr>
  </w:style>
  <w:style w:type="paragraph" w:customStyle="1" w:styleId="details">
    <w:name w:val="details"/>
    <w:basedOn w:val="Normal"/>
    <w:rsid w:val="00FA6E8E"/>
    <w:pPr>
      <w:spacing w:before="100" w:beforeAutospacing="1" w:after="100" w:afterAutospacing="1"/>
    </w:pPr>
    <w:rPr>
      <w:lang w:val="es-MX" w:eastAsia="es-MX"/>
    </w:rPr>
  </w:style>
  <w:style w:type="character" w:customStyle="1" w:styleId="jrnl">
    <w:name w:val="jrnl"/>
    <w:basedOn w:val="Fuentedeprrafopredeter"/>
    <w:rsid w:val="00FA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1904">
      <w:bodyDiv w:val="1"/>
      <w:marLeft w:val="0"/>
      <w:marRight w:val="0"/>
      <w:marTop w:val="0"/>
      <w:marBottom w:val="0"/>
      <w:divBdr>
        <w:top w:val="none" w:sz="0" w:space="0" w:color="auto"/>
        <w:left w:val="none" w:sz="0" w:space="0" w:color="auto"/>
        <w:bottom w:val="none" w:sz="0" w:space="0" w:color="auto"/>
        <w:right w:val="none" w:sz="0" w:space="0" w:color="auto"/>
      </w:divBdr>
    </w:div>
    <w:div w:id="850610203">
      <w:bodyDiv w:val="1"/>
      <w:marLeft w:val="0"/>
      <w:marRight w:val="0"/>
      <w:marTop w:val="0"/>
      <w:marBottom w:val="0"/>
      <w:divBdr>
        <w:top w:val="none" w:sz="0" w:space="0" w:color="auto"/>
        <w:left w:val="none" w:sz="0" w:space="0" w:color="auto"/>
        <w:bottom w:val="none" w:sz="0" w:space="0" w:color="auto"/>
        <w:right w:val="none" w:sz="0" w:space="0" w:color="auto"/>
      </w:divBdr>
      <w:divsChild>
        <w:div w:id="687414786">
          <w:marLeft w:val="0"/>
          <w:marRight w:val="0"/>
          <w:marTop w:val="0"/>
          <w:marBottom w:val="0"/>
          <w:divBdr>
            <w:top w:val="none" w:sz="0" w:space="0" w:color="auto"/>
            <w:left w:val="none" w:sz="0" w:space="0" w:color="auto"/>
            <w:bottom w:val="none" w:sz="0" w:space="0" w:color="auto"/>
            <w:right w:val="none" w:sz="0" w:space="0" w:color="auto"/>
          </w:divBdr>
        </w:div>
      </w:divsChild>
    </w:div>
    <w:div w:id="871917441">
      <w:bodyDiv w:val="1"/>
      <w:marLeft w:val="0"/>
      <w:marRight w:val="0"/>
      <w:marTop w:val="0"/>
      <w:marBottom w:val="0"/>
      <w:divBdr>
        <w:top w:val="none" w:sz="0" w:space="0" w:color="auto"/>
        <w:left w:val="none" w:sz="0" w:space="0" w:color="auto"/>
        <w:bottom w:val="none" w:sz="0" w:space="0" w:color="auto"/>
        <w:right w:val="none" w:sz="0" w:space="0" w:color="auto"/>
      </w:divBdr>
      <w:divsChild>
        <w:div w:id="1622347531">
          <w:marLeft w:val="0"/>
          <w:marRight w:val="0"/>
          <w:marTop w:val="0"/>
          <w:marBottom w:val="0"/>
          <w:divBdr>
            <w:top w:val="none" w:sz="0" w:space="0" w:color="auto"/>
            <w:left w:val="none" w:sz="0" w:space="0" w:color="auto"/>
            <w:bottom w:val="none" w:sz="0" w:space="0" w:color="auto"/>
            <w:right w:val="none" w:sz="0" w:space="0" w:color="auto"/>
          </w:divBdr>
        </w:div>
      </w:divsChild>
    </w:div>
    <w:div w:id="2119517760">
      <w:bodyDiv w:val="1"/>
      <w:marLeft w:val="0"/>
      <w:marRight w:val="0"/>
      <w:marTop w:val="0"/>
      <w:marBottom w:val="0"/>
      <w:divBdr>
        <w:top w:val="none" w:sz="0" w:space="0" w:color="auto"/>
        <w:left w:val="none" w:sz="0" w:space="0" w:color="auto"/>
        <w:bottom w:val="none" w:sz="0" w:space="0" w:color="auto"/>
        <w:right w:val="none" w:sz="0" w:space="0" w:color="auto"/>
      </w:divBdr>
      <w:divsChild>
        <w:div w:id="106602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bi.nlm.nih.gov/pubmed/146738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166287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40223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bi.nlm.nih.gov/pubmed/?term=Ambroise%20MM%5BAuthor%5D&amp;cauthor=true&amp;cauthor_uid=2402230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cbi.nlm.nih.gov/pubmed/179853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892C-7092-47AF-B725-055D6361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3135</Words>
  <Characters>17244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Formato de extensos X Encuentro</vt:lpstr>
    </vt:vector>
  </TitlesOfParts>
  <Company>CIO</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extensos X Encuentro</dc:title>
  <dc:subject/>
  <dc:creator>Amalia Martínez García</dc:creator>
  <cp:keywords/>
  <cp:lastModifiedBy>daniel molina</cp:lastModifiedBy>
  <cp:revision>3</cp:revision>
  <cp:lastPrinted>2008-01-24T16:52:00Z</cp:lastPrinted>
  <dcterms:created xsi:type="dcterms:W3CDTF">2015-04-14T05:18:00Z</dcterms:created>
  <dcterms:modified xsi:type="dcterms:W3CDTF">2015-04-14T05:24:00Z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1722284335</vt:i4>
  </property>
  <property fmtid="{D5CDD505-2E9C-101B-9397-08002B2CF9AE}" pid="3" name="_EmailSubject">
    <vt:lpwstr>formatos de resumen y extenso</vt:lpwstr>
  </property>
  <property fmtid="{D5CDD505-2E9C-101B-9397-08002B2CF9AE}" pid="4" name="_AuthorEmail">
    <vt:lpwstr>csolano@cio.mx</vt:lpwstr>
  </property>
  <property fmtid="{D5CDD505-2E9C-101B-9397-08002B2CF9AE}" pid="5" name="_AuthorEmailDisplayName">
    <vt:lpwstr>Cristina Elizabeth Solano Sosa</vt:lpwstr>
  </property>
  <property fmtid="{D5CDD505-2E9C-101B-9397-08002B2CF9AE}" pid="6" name="_PreviousAdHocReviewCycleID">
    <vt:i4>-535879260</vt:i4>
  </property>
  <property fmtid="{D5CDD505-2E9C-101B-9397-08002B2CF9AE}" pid="7" name="_ReviewingToolsShownOnce">
    <vt:lpwstr/>
  </property>
</Properties>
</file>