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2AE" w:rsidRPr="00A87C83" w:rsidRDefault="001752AE" w:rsidP="000675FF">
      <w:pPr>
        <w:jc w:val="center"/>
        <w:rPr>
          <w:rFonts w:ascii="Arial" w:hAnsi="Arial" w:cs="Arial"/>
          <w:b/>
          <w:sz w:val="20"/>
          <w:szCs w:val="20"/>
        </w:rPr>
      </w:pPr>
      <w:r w:rsidRPr="00A87C83">
        <w:rPr>
          <w:rFonts w:ascii="Arial" w:hAnsi="Arial" w:cs="Arial"/>
          <w:b/>
          <w:sz w:val="20"/>
          <w:szCs w:val="20"/>
        </w:rPr>
        <w:t>ESTADO ACTUAL Y APLICACIÓN DE LA TRANSFERENCIA DE EMBRIONES EN OVINOS Y CAPRINOS</w:t>
      </w:r>
    </w:p>
    <w:p w:rsidR="00A87C83" w:rsidRPr="00042A0E" w:rsidRDefault="00A87C83" w:rsidP="00A87C83">
      <w:pPr>
        <w:jc w:val="center"/>
        <w:rPr>
          <w:rFonts w:ascii="Arial" w:hAnsi="Arial" w:cs="Arial"/>
          <w:sz w:val="20"/>
          <w:szCs w:val="20"/>
          <w:vertAlign w:val="superscript"/>
        </w:rPr>
      </w:pPr>
      <w:r w:rsidRPr="00042A0E">
        <w:rPr>
          <w:rFonts w:ascii="Arial" w:hAnsi="Arial" w:cs="Arial"/>
          <w:sz w:val="20"/>
          <w:szCs w:val="20"/>
        </w:rPr>
        <w:t>Lucio Domínguez, R.</w:t>
      </w:r>
      <w:r w:rsidRPr="00042A0E">
        <w:rPr>
          <w:rFonts w:ascii="Arial" w:hAnsi="Arial" w:cs="Arial"/>
          <w:sz w:val="20"/>
          <w:szCs w:val="20"/>
          <w:vertAlign w:val="superscript"/>
        </w:rPr>
        <w:t>1</w:t>
      </w:r>
      <w:r w:rsidRPr="00042A0E">
        <w:rPr>
          <w:rFonts w:ascii="Arial" w:hAnsi="Arial" w:cs="Arial"/>
          <w:sz w:val="20"/>
          <w:szCs w:val="20"/>
        </w:rPr>
        <w:t xml:space="preserve">; </w:t>
      </w:r>
      <w:proofErr w:type="spellStart"/>
      <w:r w:rsidRPr="00042A0E">
        <w:rPr>
          <w:rFonts w:ascii="Arial" w:hAnsi="Arial" w:cs="Arial"/>
          <w:sz w:val="20"/>
          <w:szCs w:val="20"/>
        </w:rPr>
        <w:t>Sesento</w:t>
      </w:r>
      <w:proofErr w:type="spellEnd"/>
      <w:r w:rsidRPr="00042A0E">
        <w:rPr>
          <w:rFonts w:ascii="Arial" w:hAnsi="Arial" w:cs="Arial"/>
          <w:sz w:val="20"/>
          <w:szCs w:val="20"/>
        </w:rPr>
        <w:t xml:space="preserve"> García L.</w:t>
      </w:r>
      <w:r w:rsidRPr="00042A0E">
        <w:rPr>
          <w:rFonts w:ascii="Arial" w:hAnsi="Arial" w:cs="Arial"/>
          <w:sz w:val="20"/>
          <w:szCs w:val="20"/>
          <w:vertAlign w:val="superscript"/>
        </w:rPr>
        <w:t>2</w:t>
      </w:r>
      <w:r w:rsidRPr="00042A0E">
        <w:rPr>
          <w:rFonts w:ascii="Arial" w:hAnsi="Arial" w:cs="Arial"/>
          <w:sz w:val="20"/>
          <w:szCs w:val="20"/>
        </w:rPr>
        <w:t>; Pérez Luna O.</w:t>
      </w:r>
      <w:r w:rsidRPr="00042A0E">
        <w:rPr>
          <w:rFonts w:ascii="Arial" w:hAnsi="Arial" w:cs="Arial"/>
          <w:sz w:val="20"/>
          <w:szCs w:val="20"/>
          <w:vertAlign w:val="superscript"/>
        </w:rPr>
        <w:t>1</w:t>
      </w:r>
      <w:r w:rsidRPr="00042A0E">
        <w:rPr>
          <w:rFonts w:ascii="Arial" w:hAnsi="Arial" w:cs="Arial"/>
          <w:sz w:val="20"/>
          <w:szCs w:val="20"/>
        </w:rPr>
        <w:t>; Bedolla Cedeño J. L. C.</w:t>
      </w:r>
      <w:r w:rsidRPr="00042A0E">
        <w:rPr>
          <w:rFonts w:ascii="Arial" w:hAnsi="Arial" w:cs="Arial"/>
          <w:sz w:val="20"/>
          <w:szCs w:val="20"/>
          <w:vertAlign w:val="superscript"/>
        </w:rPr>
        <w:t>1</w:t>
      </w:r>
      <w:r w:rsidRPr="00042A0E">
        <w:rPr>
          <w:rFonts w:ascii="Arial" w:hAnsi="Arial" w:cs="Arial"/>
          <w:sz w:val="20"/>
          <w:szCs w:val="20"/>
        </w:rPr>
        <w:t>;  Sánchez Parra V.M.</w:t>
      </w:r>
      <w:r w:rsidRPr="00042A0E">
        <w:rPr>
          <w:rFonts w:ascii="Arial" w:hAnsi="Arial" w:cs="Arial"/>
          <w:sz w:val="20"/>
          <w:szCs w:val="20"/>
          <w:vertAlign w:val="superscript"/>
        </w:rPr>
        <w:t>1</w:t>
      </w:r>
      <w:r w:rsidRPr="00042A0E">
        <w:rPr>
          <w:rFonts w:ascii="Arial" w:hAnsi="Arial" w:cs="Arial"/>
          <w:sz w:val="20"/>
          <w:szCs w:val="20"/>
        </w:rPr>
        <w:t>; Herrera Camacho J.</w:t>
      </w:r>
      <w:r w:rsidRPr="00042A0E">
        <w:rPr>
          <w:rFonts w:ascii="Arial" w:hAnsi="Arial" w:cs="Arial"/>
          <w:sz w:val="20"/>
          <w:szCs w:val="20"/>
          <w:vertAlign w:val="superscript"/>
        </w:rPr>
        <w:t>3</w:t>
      </w:r>
      <w:r w:rsidRPr="00042A0E">
        <w:rPr>
          <w:rFonts w:ascii="Arial" w:hAnsi="Arial" w:cs="Arial"/>
          <w:sz w:val="20"/>
          <w:szCs w:val="20"/>
        </w:rPr>
        <w:t>; Cruz Hernández A. R.</w:t>
      </w:r>
      <w:r w:rsidRPr="00042A0E">
        <w:rPr>
          <w:rFonts w:ascii="Arial" w:hAnsi="Arial" w:cs="Arial"/>
          <w:sz w:val="20"/>
          <w:szCs w:val="20"/>
          <w:vertAlign w:val="superscript"/>
        </w:rPr>
        <w:t>1</w:t>
      </w:r>
    </w:p>
    <w:p w:rsidR="00A87C83" w:rsidRPr="00042A0E" w:rsidRDefault="00A87C83" w:rsidP="00A87C83">
      <w:pPr>
        <w:jc w:val="center"/>
        <w:rPr>
          <w:rFonts w:ascii="Arial" w:hAnsi="Arial" w:cs="Arial"/>
          <w:i/>
          <w:sz w:val="20"/>
          <w:szCs w:val="20"/>
        </w:rPr>
      </w:pPr>
      <w:r w:rsidRPr="00042A0E">
        <w:rPr>
          <w:rFonts w:ascii="Arial" w:hAnsi="Arial" w:cs="Arial"/>
          <w:i/>
          <w:sz w:val="20"/>
          <w:szCs w:val="20"/>
          <w:vertAlign w:val="superscript"/>
        </w:rPr>
        <w:t>1</w:t>
      </w:r>
      <w:r w:rsidRPr="00042A0E">
        <w:rPr>
          <w:rFonts w:ascii="Arial" w:hAnsi="Arial" w:cs="Arial"/>
          <w:i/>
          <w:sz w:val="20"/>
          <w:szCs w:val="20"/>
        </w:rPr>
        <w:t xml:space="preserve"> Facultad de Medicina Veterinaria y Zootecnia de la Universidad Michoacana de San Nicolás de Hidalgo. </w:t>
      </w:r>
      <w:r w:rsidRPr="00042A0E">
        <w:rPr>
          <w:rFonts w:ascii="Arial" w:hAnsi="Arial" w:cs="Arial"/>
          <w:i/>
          <w:sz w:val="20"/>
          <w:szCs w:val="20"/>
          <w:vertAlign w:val="superscript"/>
        </w:rPr>
        <w:t xml:space="preserve">2  </w:t>
      </w:r>
      <w:r w:rsidRPr="00042A0E">
        <w:rPr>
          <w:rFonts w:ascii="Arial" w:hAnsi="Arial" w:cs="Arial"/>
          <w:i/>
          <w:sz w:val="20"/>
          <w:szCs w:val="20"/>
        </w:rPr>
        <w:t>Colegio Primitivo y Nacional de San Nicolás de Hidalgo.</w:t>
      </w:r>
      <w:r w:rsidRPr="00042A0E">
        <w:rPr>
          <w:rFonts w:ascii="Arial" w:hAnsi="Arial" w:cs="Arial"/>
          <w:i/>
          <w:sz w:val="20"/>
          <w:szCs w:val="20"/>
          <w:vertAlign w:val="superscript"/>
        </w:rPr>
        <w:t xml:space="preserve">3 </w:t>
      </w:r>
      <w:r w:rsidRPr="00042A0E">
        <w:rPr>
          <w:rFonts w:ascii="Arial" w:hAnsi="Arial" w:cs="Arial"/>
          <w:i/>
          <w:sz w:val="20"/>
          <w:szCs w:val="20"/>
        </w:rPr>
        <w:t>Instituto de Investigaciones Agropecuarias y Forestales.</w:t>
      </w:r>
    </w:p>
    <w:p w:rsidR="00A87C83" w:rsidRPr="00042A0E" w:rsidRDefault="00A87C83" w:rsidP="00A87C83">
      <w:pPr>
        <w:jc w:val="center"/>
        <w:rPr>
          <w:rFonts w:ascii="Arial" w:hAnsi="Arial" w:cs="Arial"/>
          <w:color w:val="4F81BD"/>
          <w:sz w:val="20"/>
          <w:szCs w:val="20"/>
        </w:rPr>
      </w:pPr>
      <w:r w:rsidRPr="00042A0E">
        <w:rPr>
          <w:rFonts w:ascii="Arial" w:hAnsi="Arial" w:cs="Arial"/>
          <w:sz w:val="20"/>
          <w:szCs w:val="20"/>
        </w:rPr>
        <w:t xml:space="preserve">E-mail: </w:t>
      </w:r>
      <w:hyperlink r:id="rId6" w:history="1">
        <w:r w:rsidRPr="00042A0E">
          <w:rPr>
            <w:rStyle w:val="Hipervnculo"/>
            <w:rFonts w:ascii="Arial" w:hAnsi="Arial" w:cs="Arial"/>
            <w:b/>
            <w:sz w:val="20"/>
            <w:szCs w:val="20"/>
          </w:rPr>
          <w:t>dr.rlucio@hotmail.com</w:t>
        </w:r>
      </w:hyperlink>
    </w:p>
    <w:p w:rsidR="00A87C83" w:rsidRPr="000675FF" w:rsidRDefault="00A87C83" w:rsidP="000675FF">
      <w:pPr>
        <w:jc w:val="center"/>
        <w:rPr>
          <w:rFonts w:ascii="Arial" w:hAnsi="Arial" w:cs="Arial"/>
          <w:b/>
          <w:sz w:val="24"/>
          <w:szCs w:val="24"/>
        </w:rPr>
      </w:pPr>
    </w:p>
    <w:p w:rsidR="00550322" w:rsidRPr="00A87C83" w:rsidRDefault="007A1C0F" w:rsidP="00067B16">
      <w:pPr>
        <w:rPr>
          <w:b/>
        </w:rPr>
      </w:pPr>
      <w:r w:rsidRPr="00A87C83">
        <w:rPr>
          <w:rFonts w:ascii="Arial" w:hAnsi="Arial" w:cs="Arial"/>
          <w:b/>
          <w:sz w:val="20"/>
          <w:szCs w:val="20"/>
        </w:rPr>
        <w:t>RESUMEN</w:t>
      </w:r>
    </w:p>
    <w:p w:rsidR="00CD2487" w:rsidRPr="00A87C83" w:rsidRDefault="007A1C0F" w:rsidP="00A87C83">
      <w:pPr>
        <w:jc w:val="both"/>
        <w:rPr>
          <w:rFonts w:ascii="Arial" w:hAnsi="Arial" w:cs="Arial"/>
          <w:sz w:val="20"/>
          <w:szCs w:val="20"/>
        </w:rPr>
      </w:pPr>
      <w:r w:rsidRPr="00A87C83">
        <w:rPr>
          <w:rFonts w:ascii="Arial" w:hAnsi="Arial" w:cs="Arial"/>
          <w:sz w:val="20"/>
          <w:szCs w:val="20"/>
        </w:rPr>
        <w:t>La transferencia de embriones es un método de reproducción asistida basado en la producción de múltiples embriones, por una hembra donante (madre genética superior) y transferidos antes de la edad de implantación, en varias hembras receptoras (madres portadoras gestantes).</w:t>
      </w:r>
      <w:r w:rsidR="00067B16" w:rsidRPr="00A87C83">
        <w:rPr>
          <w:rFonts w:ascii="Arial" w:hAnsi="Arial" w:cs="Arial"/>
          <w:sz w:val="20"/>
          <w:szCs w:val="20"/>
        </w:rPr>
        <w:t xml:space="preserve"> </w:t>
      </w:r>
      <w:r w:rsidRPr="00A87C83">
        <w:rPr>
          <w:rFonts w:ascii="Arial" w:hAnsi="Arial" w:cs="Arial"/>
          <w:sz w:val="20"/>
          <w:szCs w:val="20"/>
        </w:rPr>
        <w:t>Los primeros trasplantes de embriones caprinos y ovinos se realizaron hace 50 años</w:t>
      </w:r>
      <w:r w:rsidR="00634087" w:rsidRPr="00A87C83">
        <w:rPr>
          <w:rFonts w:ascii="Arial" w:hAnsi="Arial" w:cs="Arial"/>
          <w:sz w:val="20"/>
          <w:szCs w:val="20"/>
        </w:rPr>
        <w:t xml:space="preserve">, </w:t>
      </w:r>
      <w:r w:rsidR="00634087" w:rsidRPr="00A87C83">
        <w:rPr>
          <w:rFonts w:ascii="Arial" w:hAnsi="Arial" w:cs="Arial"/>
          <w:color w:val="000000"/>
          <w:sz w:val="20"/>
          <w:szCs w:val="20"/>
        </w:rPr>
        <w:t>la estimulación ovárica o superovulación sigue siendo un tema de real preocupación ya que los resultados no siempre son favorables, y a veces son negativos. En la industria de la transferencia embri</w:t>
      </w:r>
      <w:r w:rsidR="00721D3A" w:rsidRPr="00A87C83">
        <w:rPr>
          <w:rFonts w:ascii="Arial" w:hAnsi="Arial" w:cs="Arial"/>
          <w:color w:val="000000"/>
          <w:sz w:val="20"/>
          <w:szCs w:val="20"/>
        </w:rPr>
        <w:t>onaria, a pesar de los avances</w:t>
      </w:r>
      <w:r w:rsidR="00634087" w:rsidRPr="00A87C83">
        <w:rPr>
          <w:rFonts w:ascii="Arial" w:hAnsi="Arial" w:cs="Arial"/>
          <w:color w:val="000000"/>
          <w:sz w:val="20"/>
          <w:szCs w:val="20"/>
        </w:rPr>
        <w:t xml:space="preserve"> en la producción de embriones y en su transferencia, la principal desventaja es la imposibilidad de asegurar que una donante potencial pueda proveer un apropiado número de embriones de calidad en un tiempo establecido.</w:t>
      </w:r>
      <w:r w:rsidR="00721D3A" w:rsidRPr="00A87C83">
        <w:rPr>
          <w:rFonts w:ascii="Arial" w:hAnsi="Arial" w:cs="Arial"/>
          <w:sz w:val="20"/>
          <w:szCs w:val="20"/>
        </w:rPr>
        <w:t xml:space="preserve"> </w:t>
      </w:r>
      <w:r w:rsidRPr="00A87C83">
        <w:rPr>
          <w:rFonts w:ascii="Arial" w:hAnsi="Arial" w:cs="Arial"/>
          <w:sz w:val="20"/>
          <w:szCs w:val="20"/>
        </w:rPr>
        <w:t>La transferencia de embriones permite incrementar el número de crías de una hembra genéticamente superior, logrando obtener en promedio 4 crías por tratamient</w:t>
      </w:r>
      <w:r w:rsidR="00067B16" w:rsidRPr="00A87C83">
        <w:rPr>
          <w:rFonts w:ascii="Arial" w:hAnsi="Arial" w:cs="Arial"/>
          <w:sz w:val="20"/>
          <w:szCs w:val="20"/>
        </w:rPr>
        <w:t>o de ovulación múltiple.</w:t>
      </w:r>
      <w:r w:rsidR="00634087" w:rsidRPr="00A87C83">
        <w:rPr>
          <w:rFonts w:ascii="Arial" w:hAnsi="Arial" w:cs="Arial"/>
          <w:color w:val="000000"/>
          <w:sz w:val="20"/>
          <w:szCs w:val="20"/>
        </w:rPr>
        <w:t xml:space="preserve"> </w:t>
      </w:r>
      <w:r w:rsidR="00634087" w:rsidRPr="00A87C83">
        <w:rPr>
          <w:rFonts w:ascii="Arial" w:hAnsi="Arial" w:cs="Arial"/>
          <w:sz w:val="20"/>
          <w:szCs w:val="20"/>
        </w:rPr>
        <w:t xml:space="preserve">Los recientes avances en el incremento de la eficiencia reproductiva en la transferencia de embriones han ampliado la posibilidad de su utilización en los programas de mejoramiento genético aumentando la difusión de los genes de las ovejas y cabras de alto valor productivo. </w:t>
      </w:r>
      <w:r w:rsidR="00634087" w:rsidRPr="00A87C83">
        <w:rPr>
          <w:rFonts w:ascii="Arial" w:hAnsi="Arial" w:cs="Arial"/>
          <w:color w:val="000000"/>
          <w:sz w:val="20"/>
          <w:szCs w:val="20"/>
        </w:rPr>
        <w:t xml:space="preserve">Sin embargo, el componente más importante en este </w:t>
      </w:r>
      <w:r w:rsidR="00721D3A" w:rsidRPr="00A87C83">
        <w:rPr>
          <w:rFonts w:ascii="Arial" w:hAnsi="Arial" w:cs="Arial"/>
          <w:color w:val="000000"/>
          <w:sz w:val="20"/>
          <w:szCs w:val="20"/>
        </w:rPr>
        <w:t>t</w:t>
      </w:r>
      <w:r w:rsidR="00634087" w:rsidRPr="00A87C83">
        <w:rPr>
          <w:rFonts w:ascii="Arial" w:hAnsi="Arial" w:cs="Arial"/>
          <w:color w:val="000000"/>
          <w:sz w:val="20"/>
          <w:szCs w:val="20"/>
        </w:rPr>
        <w:t xml:space="preserve">ema es la gran variabilidad entre individuos en su respuesta ovulatoria a los tratamientos. Las variaciones individuales pueden ser atribuidas fundamentalmente a la elección de los tratamientos superovulatorios aplicados a los animales, y en las diferentes respuestas de los mismos a un tratamiento dado. </w:t>
      </w:r>
      <w:r w:rsidR="00CD2487" w:rsidRPr="00A87C83">
        <w:rPr>
          <w:rFonts w:ascii="Arial" w:hAnsi="Arial" w:cs="Arial"/>
          <w:color w:val="000000"/>
          <w:sz w:val="20"/>
          <w:szCs w:val="20"/>
        </w:rPr>
        <w:t>El objetivo del presente trabajo</w:t>
      </w:r>
      <w:r w:rsidR="008A719D" w:rsidRPr="00A87C83">
        <w:rPr>
          <w:rFonts w:ascii="Arial" w:hAnsi="Arial" w:cs="Arial"/>
          <w:color w:val="000000"/>
          <w:sz w:val="20"/>
          <w:szCs w:val="20"/>
        </w:rPr>
        <w:t xml:space="preserve"> de revisión </w:t>
      </w:r>
      <w:r w:rsidR="00634087" w:rsidRPr="00A87C83">
        <w:rPr>
          <w:rFonts w:ascii="Arial" w:hAnsi="Arial" w:cs="Arial"/>
          <w:color w:val="000000"/>
          <w:sz w:val="20"/>
          <w:szCs w:val="20"/>
        </w:rPr>
        <w:t xml:space="preserve">es dar a conocer </w:t>
      </w:r>
      <w:r w:rsidR="00CD2487" w:rsidRPr="00A87C83">
        <w:rPr>
          <w:rFonts w:ascii="Arial" w:hAnsi="Arial" w:cs="Arial"/>
          <w:sz w:val="20"/>
          <w:szCs w:val="20"/>
        </w:rPr>
        <w:t xml:space="preserve">la aplicación de esta técnica en los </w:t>
      </w:r>
      <w:r w:rsidR="00634087" w:rsidRPr="00A87C83">
        <w:rPr>
          <w:rFonts w:ascii="Arial" w:hAnsi="Arial" w:cs="Arial"/>
          <w:sz w:val="20"/>
          <w:szCs w:val="20"/>
        </w:rPr>
        <w:t>pequeños rumiantes</w:t>
      </w:r>
      <w:r w:rsidR="00CD2487" w:rsidRPr="00A87C83">
        <w:rPr>
          <w:rFonts w:ascii="Arial" w:hAnsi="Arial" w:cs="Arial"/>
          <w:sz w:val="20"/>
          <w:szCs w:val="20"/>
        </w:rPr>
        <w:t xml:space="preserve"> </w:t>
      </w:r>
      <w:r w:rsidR="00721D3A" w:rsidRPr="00A87C83">
        <w:rPr>
          <w:rFonts w:ascii="Arial" w:hAnsi="Arial" w:cs="Arial"/>
          <w:sz w:val="20"/>
          <w:szCs w:val="20"/>
        </w:rPr>
        <w:t>con</w:t>
      </w:r>
      <w:r w:rsidR="00CD2487" w:rsidRPr="00A87C83">
        <w:rPr>
          <w:rFonts w:ascii="Arial" w:hAnsi="Arial" w:cs="Arial"/>
          <w:sz w:val="20"/>
          <w:szCs w:val="20"/>
        </w:rPr>
        <w:t xml:space="preserve"> fundamentos de orden genético, comercial, sanitario y de conservación de especies</w:t>
      </w:r>
      <w:r w:rsidR="00721D3A" w:rsidRPr="00A87C83">
        <w:rPr>
          <w:rFonts w:ascii="Arial" w:hAnsi="Arial" w:cs="Arial"/>
          <w:sz w:val="20"/>
          <w:szCs w:val="20"/>
        </w:rPr>
        <w:t>.</w:t>
      </w:r>
    </w:p>
    <w:p w:rsidR="003C0FB7" w:rsidRPr="00A87C83" w:rsidRDefault="003C0FB7" w:rsidP="00A87C83">
      <w:pPr>
        <w:jc w:val="both"/>
        <w:rPr>
          <w:rFonts w:ascii="Arial" w:hAnsi="Arial" w:cs="Arial"/>
          <w:sz w:val="20"/>
          <w:szCs w:val="20"/>
        </w:rPr>
      </w:pPr>
      <w:r w:rsidRPr="00A87C83">
        <w:rPr>
          <w:rFonts w:ascii="Arial" w:hAnsi="Arial" w:cs="Arial"/>
          <w:sz w:val="20"/>
          <w:szCs w:val="20"/>
        </w:rPr>
        <w:t>Palabras clave: Transferencia, embriones, ovinos, caprinos.</w:t>
      </w:r>
    </w:p>
    <w:p w:rsidR="000675FF" w:rsidRPr="00A87C83" w:rsidRDefault="000675FF" w:rsidP="00A87C83">
      <w:pPr>
        <w:jc w:val="both"/>
        <w:rPr>
          <w:rFonts w:ascii="Arial" w:hAnsi="Arial" w:cs="Arial"/>
          <w:sz w:val="20"/>
          <w:szCs w:val="20"/>
        </w:rPr>
      </w:pPr>
    </w:p>
    <w:p w:rsidR="000675FF" w:rsidRPr="00A87C83" w:rsidRDefault="000675FF" w:rsidP="00A87C83">
      <w:pPr>
        <w:jc w:val="both"/>
        <w:rPr>
          <w:rFonts w:ascii="Arial" w:hAnsi="Arial" w:cs="Arial"/>
          <w:sz w:val="20"/>
          <w:szCs w:val="20"/>
        </w:rPr>
      </w:pPr>
    </w:p>
    <w:p w:rsidR="000675FF" w:rsidRPr="00A87C83" w:rsidRDefault="000675FF" w:rsidP="00A87C83">
      <w:pPr>
        <w:jc w:val="both"/>
        <w:rPr>
          <w:rFonts w:ascii="Arial" w:hAnsi="Arial" w:cs="Arial"/>
          <w:sz w:val="20"/>
          <w:szCs w:val="20"/>
        </w:rPr>
      </w:pPr>
    </w:p>
    <w:p w:rsidR="000675FF" w:rsidRPr="00A87C83" w:rsidRDefault="000675FF" w:rsidP="00A87C83">
      <w:pPr>
        <w:jc w:val="both"/>
        <w:rPr>
          <w:rFonts w:ascii="Arial" w:hAnsi="Arial" w:cs="Arial"/>
          <w:sz w:val="20"/>
          <w:szCs w:val="20"/>
        </w:rPr>
      </w:pPr>
    </w:p>
    <w:p w:rsidR="000675FF" w:rsidRPr="00A87C83" w:rsidRDefault="000675FF" w:rsidP="00A87C83">
      <w:pPr>
        <w:jc w:val="both"/>
        <w:rPr>
          <w:rFonts w:ascii="Arial" w:hAnsi="Arial" w:cs="Arial"/>
          <w:sz w:val="20"/>
          <w:szCs w:val="20"/>
        </w:rPr>
      </w:pPr>
    </w:p>
    <w:p w:rsidR="000675FF" w:rsidRPr="00A87C83" w:rsidRDefault="000675FF" w:rsidP="00A87C83">
      <w:pPr>
        <w:jc w:val="both"/>
        <w:rPr>
          <w:rFonts w:ascii="Arial" w:hAnsi="Arial" w:cs="Arial"/>
          <w:sz w:val="20"/>
          <w:szCs w:val="20"/>
        </w:rPr>
      </w:pPr>
    </w:p>
    <w:p w:rsidR="000675FF" w:rsidRPr="00A87C83" w:rsidRDefault="000675FF" w:rsidP="00A87C83">
      <w:pPr>
        <w:jc w:val="both"/>
        <w:rPr>
          <w:rFonts w:ascii="Arial" w:hAnsi="Arial" w:cs="Arial"/>
          <w:sz w:val="20"/>
          <w:szCs w:val="20"/>
        </w:rPr>
      </w:pPr>
    </w:p>
    <w:p w:rsidR="000675FF" w:rsidRPr="00A87C83" w:rsidRDefault="00A87C83" w:rsidP="00A87C83">
      <w:pPr>
        <w:jc w:val="both"/>
        <w:rPr>
          <w:rFonts w:ascii="Arial" w:hAnsi="Arial" w:cs="Arial"/>
          <w:b/>
          <w:sz w:val="20"/>
          <w:szCs w:val="20"/>
        </w:rPr>
      </w:pPr>
      <w:r w:rsidRPr="00A87C83">
        <w:rPr>
          <w:rFonts w:ascii="Arial" w:hAnsi="Arial" w:cs="Arial"/>
          <w:b/>
          <w:sz w:val="20"/>
          <w:szCs w:val="20"/>
        </w:rPr>
        <w:t>INTRODUCCIÓN</w:t>
      </w:r>
    </w:p>
    <w:p w:rsidR="000675FF" w:rsidRPr="00A87C83" w:rsidRDefault="000675FF" w:rsidP="00A87C83">
      <w:pPr>
        <w:jc w:val="both"/>
        <w:rPr>
          <w:rFonts w:ascii="Arial" w:hAnsi="Arial" w:cs="Arial"/>
          <w:sz w:val="20"/>
          <w:szCs w:val="20"/>
        </w:rPr>
      </w:pPr>
      <w:r w:rsidRPr="00A87C83">
        <w:rPr>
          <w:rFonts w:ascii="Arial" w:hAnsi="Arial" w:cs="Arial"/>
          <w:sz w:val="20"/>
          <w:szCs w:val="20"/>
        </w:rPr>
        <w:t>La transferencia de embriones es un método de reproducción artificial que consiste en la obtención de varios embriones generados por una hembra donante, y que serán posteriormente inoculados en hembras receptoras. Una reproductora donante, podrá formar parte de un programa de transferencia en más de una oportunidad, de manera de multiplicar su potencial reproductivo, utilizando los vientres de la misma especie pero de escaso valor genético.</w:t>
      </w:r>
    </w:p>
    <w:p w:rsidR="000675FF" w:rsidRPr="00A87C83" w:rsidRDefault="000675FF" w:rsidP="00A87C83">
      <w:pPr>
        <w:jc w:val="both"/>
        <w:rPr>
          <w:rFonts w:ascii="Arial" w:hAnsi="Arial" w:cs="Arial"/>
          <w:sz w:val="20"/>
          <w:szCs w:val="20"/>
        </w:rPr>
      </w:pPr>
      <w:r w:rsidRPr="00A87C83">
        <w:rPr>
          <w:rFonts w:ascii="Arial" w:hAnsi="Arial" w:cs="Arial"/>
          <w:sz w:val="20"/>
          <w:szCs w:val="20"/>
        </w:rPr>
        <w:t>Los tratamientos hormonales para lograr una ovulación múltiple y la transferencia de embriones permiten utilizar intensivamente a las hembras genéticamente superiores. En conjunto ambas tecnologías son denominadas internacionalmente con las siglas en inglés “MOET” (“</w:t>
      </w:r>
      <w:proofErr w:type="spellStart"/>
      <w:r w:rsidRPr="00A87C83">
        <w:rPr>
          <w:rFonts w:ascii="Arial" w:hAnsi="Arial" w:cs="Arial"/>
          <w:sz w:val="20"/>
          <w:szCs w:val="20"/>
        </w:rPr>
        <w:t>multiple</w:t>
      </w:r>
      <w:proofErr w:type="spellEnd"/>
      <w:r w:rsidRPr="00A87C83">
        <w:rPr>
          <w:rFonts w:ascii="Arial" w:hAnsi="Arial" w:cs="Arial"/>
          <w:sz w:val="20"/>
          <w:szCs w:val="20"/>
        </w:rPr>
        <w:t xml:space="preserve"> </w:t>
      </w:r>
      <w:proofErr w:type="spellStart"/>
      <w:r w:rsidRPr="00A87C83">
        <w:rPr>
          <w:rFonts w:ascii="Arial" w:hAnsi="Arial" w:cs="Arial"/>
          <w:sz w:val="20"/>
          <w:szCs w:val="20"/>
        </w:rPr>
        <w:t>ovulation</w:t>
      </w:r>
      <w:proofErr w:type="spellEnd"/>
      <w:r w:rsidRPr="00A87C83">
        <w:rPr>
          <w:rFonts w:ascii="Arial" w:hAnsi="Arial" w:cs="Arial"/>
          <w:sz w:val="20"/>
          <w:szCs w:val="20"/>
        </w:rPr>
        <w:t xml:space="preserve"> and </w:t>
      </w:r>
      <w:proofErr w:type="spellStart"/>
      <w:r w:rsidRPr="00A87C83">
        <w:rPr>
          <w:rFonts w:ascii="Arial" w:hAnsi="Arial" w:cs="Arial"/>
          <w:sz w:val="20"/>
          <w:szCs w:val="20"/>
        </w:rPr>
        <w:t>embryo</w:t>
      </w:r>
      <w:proofErr w:type="spellEnd"/>
      <w:r w:rsidRPr="00A87C83">
        <w:rPr>
          <w:rFonts w:ascii="Arial" w:hAnsi="Arial" w:cs="Arial"/>
          <w:sz w:val="20"/>
          <w:szCs w:val="20"/>
        </w:rPr>
        <w:t xml:space="preserve"> transfer”). En los últimos 25 años se han logrado considerables avances en la MOET, como herramienta del mejoramiento genético en ovinos y caprinos, siendo aún necesario maximizar la producción y sobrevivencia de embriones para obtener barias crías de valor genético. </w:t>
      </w:r>
    </w:p>
    <w:p w:rsidR="000675FF" w:rsidRPr="00A87C83" w:rsidRDefault="000675FF" w:rsidP="00A87C83">
      <w:pPr>
        <w:jc w:val="both"/>
        <w:rPr>
          <w:rFonts w:ascii="Arial" w:hAnsi="Arial" w:cs="Arial"/>
          <w:sz w:val="20"/>
          <w:szCs w:val="20"/>
        </w:rPr>
      </w:pPr>
      <w:r w:rsidRPr="00A87C83">
        <w:rPr>
          <w:rFonts w:ascii="Arial" w:hAnsi="Arial" w:cs="Arial"/>
          <w:sz w:val="20"/>
          <w:szCs w:val="20"/>
        </w:rPr>
        <w:t xml:space="preserve">Las primeras transferencias de embriones en caprinos y ovinos se realizaron hace más de 50 años (Warwick y col.1934). A partir de los años 60, realizaron trabajos en Australia (Moore y </w:t>
      </w:r>
      <w:proofErr w:type="spellStart"/>
      <w:r w:rsidRPr="00A87C83">
        <w:rPr>
          <w:rFonts w:ascii="Arial" w:hAnsi="Arial" w:cs="Arial"/>
          <w:sz w:val="20"/>
          <w:szCs w:val="20"/>
        </w:rPr>
        <w:t>Rowson</w:t>
      </w:r>
      <w:proofErr w:type="spellEnd"/>
      <w:r w:rsidRPr="00A87C83">
        <w:rPr>
          <w:rFonts w:ascii="Arial" w:hAnsi="Arial" w:cs="Arial"/>
          <w:sz w:val="20"/>
          <w:szCs w:val="20"/>
        </w:rPr>
        <w:t>) y en Nueva Zelanda (</w:t>
      </w:r>
      <w:proofErr w:type="spellStart"/>
      <w:r w:rsidRPr="00A87C83">
        <w:rPr>
          <w:rFonts w:ascii="Arial" w:hAnsi="Arial" w:cs="Arial"/>
          <w:sz w:val="20"/>
          <w:szCs w:val="20"/>
        </w:rPr>
        <w:t>Tervit</w:t>
      </w:r>
      <w:proofErr w:type="spellEnd"/>
      <w:r w:rsidRPr="00A87C83">
        <w:rPr>
          <w:rFonts w:ascii="Arial" w:hAnsi="Arial" w:cs="Arial"/>
          <w:sz w:val="20"/>
          <w:szCs w:val="20"/>
        </w:rPr>
        <w:t xml:space="preserve"> y </w:t>
      </w:r>
      <w:proofErr w:type="spellStart"/>
      <w:r w:rsidRPr="00A87C83">
        <w:rPr>
          <w:rFonts w:ascii="Arial" w:hAnsi="Arial" w:cs="Arial"/>
          <w:sz w:val="20"/>
          <w:szCs w:val="20"/>
        </w:rPr>
        <w:t>Havick</w:t>
      </w:r>
      <w:proofErr w:type="spellEnd"/>
      <w:r w:rsidRPr="00A87C83">
        <w:rPr>
          <w:rFonts w:ascii="Arial" w:hAnsi="Arial" w:cs="Arial"/>
          <w:sz w:val="20"/>
          <w:szCs w:val="20"/>
        </w:rPr>
        <w:t xml:space="preserve"> 1976), que contribuyeron a precisar las condiciones y las posibilidades del desarrollo de esto biotecnología.</w:t>
      </w:r>
    </w:p>
    <w:p w:rsidR="000675FF" w:rsidRPr="00A87C83" w:rsidRDefault="000675FF" w:rsidP="00A87C83">
      <w:pPr>
        <w:jc w:val="both"/>
        <w:rPr>
          <w:rFonts w:ascii="Arial" w:hAnsi="Arial" w:cs="Arial"/>
          <w:sz w:val="20"/>
          <w:szCs w:val="20"/>
        </w:rPr>
      </w:pPr>
      <w:r w:rsidRPr="00A87C83">
        <w:rPr>
          <w:rFonts w:ascii="Arial" w:hAnsi="Arial" w:cs="Arial"/>
          <w:sz w:val="20"/>
          <w:szCs w:val="20"/>
        </w:rPr>
        <w:t>Con la transferencia de embriones es posible acortar el intervalo generacional, y en consecuencia incrementar el avance genético, A su vez, la inseminación artificial y la trasferencia de embriones son excelentes herramientas para el mejoramiento genético en hatos aislados de los proveedores de reproductores mejoradores.</w:t>
      </w:r>
    </w:p>
    <w:p w:rsidR="000675FF" w:rsidRPr="00A87C83" w:rsidRDefault="000675FF" w:rsidP="00A87C83">
      <w:pPr>
        <w:jc w:val="both"/>
        <w:rPr>
          <w:rFonts w:ascii="Arial" w:hAnsi="Arial" w:cs="Arial"/>
          <w:sz w:val="20"/>
          <w:szCs w:val="20"/>
        </w:rPr>
      </w:pPr>
      <w:r w:rsidRPr="00A87C83">
        <w:rPr>
          <w:rFonts w:ascii="Arial" w:hAnsi="Arial" w:cs="Arial"/>
          <w:sz w:val="20"/>
          <w:szCs w:val="20"/>
        </w:rPr>
        <w:t xml:space="preserve">La finalidad de la aplicación de esta técnica en los animales domésticos tiene fundamentos de orden genético, comercial, sanitario y de conservación de especies. </w:t>
      </w:r>
    </w:p>
    <w:p w:rsidR="00A87C83" w:rsidRDefault="00A87C83" w:rsidP="00A87C83">
      <w:pPr>
        <w:jc w:val="both"/>
        <w:rPr>
          <w:rFonts w:ascii="Arial" w:hAnsi="Arial" w:cs="Arial"/>
          <w:b/>
          <w:sz w:val="20"/>
          <w:szCs w:val="20"/>
        </w:rPr>
      </w:pPr>
      <w:r>
        <w:rPr>
          <w:rFonts w:ascii="Arial" w:hAnsi="Arial" w:cs="Arial"/>
          <w:b/>
          <w:sz w:val="20"/>
          <w:szCs w:val="20"/>
        </w:rPr>
        <w:t>DESARROLLO DEL TEMA</w:t>
      </w:r>
    </w:p>
    <w:p w:rsidR="000675FF" w:rsidRPr="00A87C83" w:rsidRDefault="000675FF" w:rsidP="00A87C83">
      <w:pPr>
        <w:jc w:val="both"/>
        <w:rPr>
          <w:rFonts w:ascii="Arial" w:hAnsi="Arial" w:cs="Arial"/>
          <w:b/>
          <w:sz w:val="20"/>
          <w:szCs w:val="20"/>
        </w:rPr>
      </w:pPr>
      <w:r w:rsidRPr="00A87C83">
        <w:rPr>
          <w:rFonts w:ascii="Arial" w:hAnsi="Arial" w:cs="Arial"/>
          <w:b/>
          <w:sz w:val="20"/>
          <w:szCs w:val="20"/>
        </w:rPr>
        <w:t>Transferencia de Embriones</w:t>
      </w:r>
    </w:p>
    <w:p w:rsidR="000675FF" w:rsidRPr="00A87C83" w:rsidRDefault="000675FF" w:rsidP="00A87C83">
      <w:pPr>
        <w:jc w:val="both"/>
        <w:rPr>
          <w:rFonts w:ascii="Arial" w:hAnsi="Arial" w:cs="Arial"/>
          <w:sz w:val="20"/>
          <w:szCs w:val="20"/>
        </w:rPr>
      </w:pPr>
      <w:r w:rsidRPr="00A87C83">
        <w:rPr>
          <w:rFonts w:ascii="Arial" w:hAnsi="Arial" w:cs="Arial"/>
          <w:sz w:val="20"/>
          <w:szCs w:val="20"/>
        </w:rPr>
        <w:t>La transferencia de embriones propiamente dicha se refiere a la colocación de un embrión, o embriones, dentro del útero u oviducto de la receptora, por medio de laparotomía, l</w:t>
      </w:r>
      <w:r w:rsidR="00A87C83">
        <w:rPr>
          <w:rFonts w:ascii="Arial" w:hAnsi="Arial" w:cs="Arial"/>
          <w:sz w:val="20"/>
          <w:szCs w:val="20"/>
        </w:rPr>
        <w:t xml:space="preserve">aparoscopia o </w:t>
      </w:r>
      <w:proofErr w:type="spellStart"/>
      <w:r w:rsidR="00A87C83">
        <w:rPr>
          <w:rFonts w:ascii="Arial" w:hAnsi="Arial" w:cs="Arial"/>
          <w:sz w:val="20"/>
          <w:szCs w:val="20"/>
        </w:rPr>
        <w:t>semi</w:t>
      </w:r>
      <w:proofErr w:type="spellEnd"/>
      <w:r w:rsidR="00A87C83">
        <w:rPr>
          <w:rFonts w:ascii="Arial" w:hAnsi="Arial" w:cs="Arial"/>
          <w:sz w:val="20"/>
          <w:szCs w:val="20"/>
        </w:rPr>
        <w:t>-laparoscopia</w:t>
      </w:r>
      <w:r w:rsidRPr="00A87C83">
        <w:rPr>
          <w:rFonts w:ascii="Arial" w:hAnsi="Arial" w:cs="Arial"/>
          <w:sz w:val="20"/>
          <w:szCs w:val="20"/>
        </w:rPr>
        <w:t xml:space="preserve">. </w:t>
      </w:r>
    </w:p>
    <w:p w:rsidR="000675FF" w:rsidRPr="00A87C83" w:rsidRDefault="000675FF" w:rsidP="00A87C83">
      <w:pPr>
        <w:jc w:val="both"/>
        <w:rPr>
          <w:rFonts w:ascii="Arial" w:hAnsi="Arial" w:cs="Arial"/>
          <w:sz w:val="20"/>
          <w:szCs w:val="20"/>
        </w:rPr>
      </w:pPr>
      <w:r w:rsidRPr="00A87C83">
        <w:rPr>
          <w:rFonts w:ascii="Arial" w:hAnsi="Arial" w:cs="Arial"/>
          <w:sz w:val="20"/>
          <w:szCs w:val="20"/>
        </w:rPr>
        <w:t xml:space="preserve">La </w:t>
      </w:r>
      <w:proofErr w:type="spellStart"/>
      <w:r w:rsidRPr="00A87C83">
        <w:rPr>
          <w:rFonts w:ascii="Arial" w:hAnsi="Arial" w:cs="Arial"/>
          <w:sz w:val="20"/>
          <w:szCs w:val="20"/>
        </w:rPr>
        <w:t>semi</w:t>
      </w:r>
      <w:proofErr w:type="spellEnd"/>
      <w:r w:rsidRPr="00A87C83">
        <w:rPr>
          <w:rFonts w:ascii="Arial" w:hAnsi="Arial" w:cs="Arial"/>
          <w:sz w:val="20"/>
          <w:szCs w:val="20"/>
        </w:rPr>
        <w:t>-laparoscopia es una técnica ampliamente utilizada. Parece ser un método seguro y poco invasivo, con altos porcentajes de preñez y se recomienda  como la técnica de transferencia de embriones de pre</w:t>
      </w:r>
      <w:r w:rsidR="00A87C83">
        <w:rPr>
          <w:rFonts w:ascii="Arial" w:hAnsi="Arial" w:cs="Arial"/>
          <w:sz w:val="20"/>
          <w:szCs w:val="20"/>
        </w:rPr>
        <w:t>ferencia  en pequeños rumiantes</w:t>
      </w:r>
      <w:r w:rsidRPr="00A87C83">
        <w:rPr>
          <w:rFonts w:ascii="Arial" w:hAnsi="Arial" w:cs="Arial"/>
          <w:sz w:val="20"/>
          <w:szCs w:val="20"/>
        </w:rPr>
        <w:t xml:space="preserve">. Consiste en evaluar el cuerpo lúteo y localizar  el oviducto </w:t>
      </w:r>
      <w:proofErr w:type="spellStart"/>
      <w:r w:rsidRPr="00A87C83">
        <w:rPr>
          <w:rFonts w:ascii="Arial" w:hAnsi="Arial" w:cs="Arial"/>
          <w:sz w:val="20"/>
          <w:szCs w:val="20"/>
        </w:rPr>
        <w:t>ipsilateral</w:t>
      </w:r>
      <w:proofErr w:type="spellEnd"/>
      <w:r w:rsidRPr="00A87C83">
        <w:rPr>
          <w:rFonts w:ascii="Arial" w:hAnsi="Arial" w:cs="Arial"/>
          <w:sz w:val="20"/>
          <w:szCs w:val="20"/>
        </w:rPr>
        <w:t xml:space="preserve"> de la receptora con el </w:t>
      </w:r>
      <w:proofErr w:type="spellStart"/>
      <w:r w:rsidRPr="00A87C83">
        <w:rPr>
          <w:rFonts w:ascii="Arial" w:hAnsi="Arial" w:cs="Arial"/>
          <w:sz w:val="20"/>
          <w:szCs w:val="20"/>
        </w:rPr>
        <w:t>laparoscopio</w:t>
      </w:r>
      <w:proofErr w:type="spellEnd"/>
      <w:r w:rsidRPr="00A87C83">
        <w:rPr>
          <w:rFonts w:ascii="Arial" w:hAnsi="Arial" w:cs="Arial"/>
          <w:sz w:val="20"/>
          <w:szCs w:val="20"/>
        </w:rPr>
        <w:t>, y apoyo con unas piezas quirúrgicas  no traumáticas se exterioriza el oviducto a través de una pequeña incisión, por lo que la técnica es poco invasiva (</w:t>
      </w:r>
      <w:proofErr w:type="spellStart"/>
      <w:r w:rsidRPr="00A87C83">
        <w:rPr>
          <w:rFonts w:ascii="Arial" w:hAnsi="Arial" w:cs="Arial"/>
          <w:sz w:val="20"/>
          <w:szCs w:val="20"/>
        </w:rPr>
        <w:t>Baril</w:t>
      </w:r>
      <w:proofErr w:type="spellEnd"/>
      <w:r w:rsidRPr="00A87C83">
        <w:rPr>
          <w:rFonts w:ascii="Arial" w:hAnsi="Arial" w:cs="Arial"/>
          <w:sz w:val="20"/>
          <w:szCs w:val="20"/>
        </w:rPr>
        <w:t xml:space="preserve"> et al., 2000). La transferencia no-quirúrgica es difícil de realizar por las razones </w:t>
      </w:r>
      <w:r w:rsidRPr="00A87C83">
        <w:rPr>
          <w:rFonts w:ascii="Arial" w:hAnsi="Arial" w:cs="Arial"/>
          <w:sz w:val="20"/>
          <w:szCs w:val="20"/>
        </w:rPr>
        <w:lastRenderedPageBreak/>
        <w:t xml:space="preserve">anatómicas  anteriormente mencionadas; sin embargo, se ha reportado </w:t>
      </w:r>
      <w:proofErr w:type="spellStart"/>
      <w:r w:rsidRPr="00A87C83">
        <w:rPr>
          <w:rFonts w:ascii="Arial" w:hAnsi="Arial" w:cs="Arial"/>
          <w:sz w:val="20"/>
          <w:szCs w:val="20"/>
        </w:rPr>
        <w:t>transcervical</w:t>
      </w:r>
      <w:proofErr w:type="spellEnd"/>
      <w:r w:rsidRPr="00A87C83">
        <w:rPr>
          <w:rFonts w:ascii="Arial" w:hAnsi="Arial" w:cs="Arial"/>
          <w:sz w:val="20"/>
          <w:szCs w:val="20"/>
        </w:rPr>
        <w:t xml:space="preserve"> exitosa, pero pocos estudios se han realizado al respecto.</w:t>
      </w:r>
    </w:p>
    <w:p w:rsidR="000675FF" w:rsidRPr="00A87C83" w:rsidRDefault="000675FF" w:rsidP="00A87C83">
      <w:pPr>
        <w:jc w:val="both"/>
        <w:rPr>
          <w:rFonts w:ascii="Arial" w:hAnsi="Arial" w:cs="Arial"/>
          <w:sz w:val="20"/>
          <w:szCs w:val="20"/>
        </w:rPr>
      </w:pPr>
      <w:r w:rsidRPr="00A87C83">
        <w:rPr>
          <w:rFonts w:ascii="Arial" w:hAnsi="Arial" w:cs="Arial"/>
          <w:sz w:val="20"/>
          <w:szCs w:val="20"/>
        </w:rPr>
        <w:t>Se pueden transferir de 1 a 5 embriones  por receptora, pero estudios experimentales indican que 1 o 2 dan resultados aceptables. La transferencia de 2 embriones lleva al incremento de partos gemelares, y más del 80% de las receptoras que se les transfieren 2 embriones llevan la gestación a término, y 66% de los partos son gemelares, lo cual se puede recomendar cuando se realiza la transferencia en fresco, debido a que se tiene una alta tasa de preñez (80%), pero cuando se utilizan embriones congelados se opta por transferir uno por receptora debido a que la preñez es más baja (45 a 50%).</w:t>
      </w:r>
    </w:p>
    <w:p w:rsidR="000675FF" w:rsidRPr="00A87C83" w:rsidRDefault="000675FF" w:rsidP="00A87C83">
      <w:pPr>
        <w:jc w:val="both"/>
        <w:rPr>
          <w:rFonts w:ascii="Arial" w:hAnsi="Arial" w:cs="Arial"/>
          <w:sz w:val="20"/>
          <w:szCs w:val="20"/>
        </w:rPr>
      </w:pPr>
      <w:r w:rsidRPr="00A87C83">
        <w:rPr>
          <w:rFonts w:ascii="Arial" w:hAnsi="Arial" w:cs="Arial"/>
          <w:sz w:val="20"/>
          <w:szCs w:val="20"/>
        </w:rPr>
        <w:t>La transferencia de embriones se está utilizando en los Planes de Selección para mejorar calidad de la carne (Bari et al., 199</w:t>
      </w:r>
      <w:r w:rsidR="00A87C83">
        <w:rPr>
          <w:rFonts w:ascii="Arial" w:hAnsi="Arial" w:cs="Arial"/>
          <w:sz w:val="20"/>
          <w:szCs w:val="20"/>
        </w:rPr>
        <w:t>9), de la leche, de la lana</w:t>
      </w:r>
      <w:r w:rsidRPr="00A87C83">
        <w:rPr>
          <w:rFonts w:ascii="Arial" w:hAnsi="Arial" w:cs="Arial"/>
          <w:sz w:val="20"/>
          <w:szCs w:val="20"/>
        </w:rPr>
        <w:t xml:space="preserve">, o de la </w:t>
      </w:r>
      <w:proofErr w:type="spellStart"/>
      <w:r w:rsidRPr="00A87C83">
        <w:rPr>
          <w:rFonts w:ascii="Arial" w:hAnsi="Arial" w:cs="Arial"/>
          <w:sz w:val="20"/>
          <w:szCs w:val="20"/>
        </w:rPr>
        <w:t>prolificidad</w:t>
      </w:r>
      <w:proofErr w:type="spellEnd"/>
      <w:r w:rsidR="00A87C83">
        <w:rPr>
          <w:rFonts w:ascii="Arial" w:hAnsi="Arial" w:cs="Arial"/>
          <w:sz w:val="20"/>
          <w:szCs w:val="20"/>
        </w:rPr>
        <w:t>,</w:t>
      </w:r>
      <w:r w:rsidRPr="00A87C83">
        <w:rPr>
          <w:rFonts w:ascii="Arial" w:hAnsi="Arial" w:cs="Arial"/>
          <w:sz w:val="20"/>
          <w:szCs w:val="20"/>
        </w:rPr>
        <w:t xml:space="preserve"> y para multiplicación de animales de alto va</w:t>
      </w:r>
      <w:r w:rsidR="00891151">
        <w:rPr>
          <w:rFonts w:ascii="Arial" w:hAnsi="Arial" w:cs="Arial"/>
          <w:sz w:val="20"/>
          <w:szCs w:val="20"/>
        </w:rPr>
        <w:t>lor genético y económico.</w:t>
      </w:r>
      <w:r w:rsidRPr="00A87C83">
        <w:rPr>
          <w:rFonts w:ascii="Arial" w:hAnsi="Arial" w:cs="Arial"/>
          <w:sz w:val="20"/>
          <w:szCs w:val="20"/>
        </w:rPr>
        <w:t xml:space="preserve"> En Australia y Nueva Zelanda se emplea casi exclusivamente con fines comerciales </w:t>
      </w:r>
      <w:r w:rsidR="00891151">
        <w:rPr>
          <w:rFonts w:ascii="Arial" w:hAnsi="Arial" w:cs="Arial"/>
          <w:sz w:val="20"/>
          <w:szCs w:val="20"/>
        </w:rPr>
        <w:t>para la exportación de genética</w:t>
      </w:r>
      <w:r w:rsidRPr="00A87C83">
        <w:rPr>
          <w:rFonts w:ascii="Arial" w:hAnsi="Arial" w:cs="Arial"/>
          <w:sz w:val="20"/>
          <w:szCs w:val="20"/>
        </w:rPr>
        <w:t>, ya que es la vía más segura para el intercambio de material genético entre países a condición de seguir las Normas de segur</w:t>
      </w:r>
      <w:r w:rsidR="00891151">
        <w:rPr>
          <w:rFonts w:ascii="Arial" w:hAnsi="Arial" w:cs="Arial"/>
          <w:sz w:val="20"/>
          <w:szCs w:val="20"/>
        </w:rPr>
        <w:t>idad marcadas por la OIE (1998)</w:t>
      </w:r>
      <w:r w:rsidRPr="00A87C83">
        <w:rPr>
          <w:rFonts w:ascii="Arial" w:hAnsi="Arial" w:cs="Arial"/>
          <w:sz w:val="20"/>
          <w:szCs w:val="20"/>
        </w:rPr>
        <w:t>.</w:t>
      </w:r>
    </w:p>
    <w:p w:rsidR="00A87C83" w:rsidRDefault="000675FF" w:rsidP="00A87C83">
      <w:pPr>
        <w:jc w:val="both"/>
        <w:rPr>
          <w:rFonts w:ascii="Arial" w:hAnsi="Arial" w:cs="Arial"/>
          <w:sz w:val="20"/>
          <w:szCs w:val="20"/>
        </w:rPr>
      </w:pPr>
      <w:r w:rsidRPr="00A87C83">
        <w:rPr>
          <w:rFonts w:ascii="Arial" w:hAnsi="Arial" w:cs="Arial"/>
          <w:sz w:val="20"/>
          <w:szCs w:val="20"/>
        </w:rPr>
        <w:t xml:space="preserve">La técnica de </w:t>
      </w:r>
      <w:proofErr w:type="spellStart"/>
      <w:r w:rsidRPr="00A87C83">
        <w:rPr>
          <w:rFonts w:ascii="Arial" w:hAnsi="Arial" w:cs="Arial"/>
          <w:sz w:val="20"/>
          <w:szCs w:val="20"/>
        </w:rPr>
        <w:t>superovulación</w:t>
      </w:r>
      <w:proofErr w:type="spellEnd"/>
      <w:r w:rsidRPr="00A87C83">
        <w:rPr>
          <w:rFonts w:ascii="Arial" w:hAnsi="Arial" w:cs="Arial"/>
          <w:sz w:val="20"/>
          <w:szCs w:val="20"/>
        </w:rPr>
        <w:t xml:space="preserve">, recogida y transferencia de embriones frescos, ha sido descrita, entre otros, por </w:t>
      </w:r>
      <w:proofErr w:type="spellStart"/>
      <w:r w:rsidRPr="00A87C83">
        <w:rPr>
          <w:rFonts w:ascii="Arial" w:hAnsi="Arial" w:cs="Arial"/>
          <w:sz w:val="20"/>
          <w:szCs w:val="20"/>
        </w:rPr>
        <w:t>Baril</w:t>
      </w:r>
      <w:proofErr w:type="spellEnd"/>
      <w:r w:rsidRPr="00A87C83">
        <w:rPr>
          <w:rFonts w:ascii="Arial" w:hAnsi="Arial" w:cs="Arial"/>
          <w:sz w:val="20"/>
          <w:szCs w:val="20"/>
        </w:rPr>
        <w:t xml:space="preserve"> et al. (1995); Vivanco (1998). Existen distintos protocolos de </w:t>
      </w:r>
      <w:proofErr w:type="spellStart"/>
      <w:r w:rsidRPr="00A87C83">
        <w:rPr>
          <w:rFonts w:ascii="Arial" w:hAnsi="Arial" w:cs="Arial"/>
          <w:sz w:val="20"/>
          <w:szCs w:val="20"/>
        </w:rPr>
        <w:t>superovulación</w:t>
      </w:r>
      <w:proofErr w:type="spellEnd"/>
      <w:r w:rsidRPr="00A87C83">
        <w:rPr>
          <w:rFonts w:ascii="Arial" w:hAnsi="Arial" w:cs="Arial"/>
          <w:sz w:val="20"/>
          <w:szCs w:val="20"/>
        </w:rPr>
        <w:t xml:space="preserve"> empleando FSH porcina u ovina. En el Esquema de selección de la Rasa Aragonesa, se aplican 8 dosis decrecientes de FSH ovina a 12 h de intervalo, haciendo coincidir la 6ª inyección con la retirada de la esponja. La fecundación se realiza por IAU 50-55 h después de retirar las esponjas. Los embriones se recogen por una técnica </w:t>
      </w:r>
      <w:proofErr w:type="spellStart"/>
      <w:r w:rsidRPr="00A87C83">
        <w:rPr>
          <w:rFonts w:ascii="Arial" w:hAnsi="Arial" w:cs="Arial"/>
          <w:sz w:val="20"/>
          <w:szCs w:val="20"/>
        </w:rPr>
        <w:t>semi</w:t>
      </w:r>
      <w:proofErr w:type="spellEnd"/>
      <w:r w:rsidRPr="00A87C83">
        <w:rPr>
          <w:rFonts w:ascii="Arial" w:hAnsi="Arial" w:cs="Arial"/>
          <w:sz w:val="20"/>
          <w:szCs w:val="20"/>
        </w:rPr>
        <w:t xml:space="preserve"> quirúrgica (Ramón et al., 1991) y se congelan o transfieren en estado de m</w:t>
      </w:r>
      <w:r w:rsidR="00891151">
        <w:rPr>
          <w:rFonts w:ascii="Arial" w:hAnsi="Arial" w:cs="Arial"/>
          <w:sz w:val="20"/>
          <w:szCs w:val="20"/>
        </w:rPr>
        <w:t xml:space="preserve">órula o </w:t>
      </w:r>
      <w:proofErr w:type="spellStart"/>
      <w:r w:rsidR="00891151">
        <w:rPr>
          <w:rFonts w:ascii="Arial" w:hAnsi="Arial" w:cs="Arial"/>
          <w:sz w:val="20"/>
          <w:szCs w:val="20"/>
        </w:rPr>
        <w:t>blastocisto</w:t>
      </w:r>
      <w:proofErr w:type="spellEnd"/>
      <w:r w:rsidRPr="00A87C83">
        <w:rPr>
          <w:rFonts w:ascii="Arial" w:hAnsi="Arial" w:cs="Arial"/>
          <w:sz w:val="20"/>
          <w:szCs w:val="20"/>
        </w:rPr>
        <w:t>.</w:t>
      </w:r>
      <w:r w:rsidRPr="00A87C83">
        <w:rPr>
          <w:rFonts w:ascii="Arial" w:hAnsi="Arial" w:cs="Arial"/>
          <w:sz w:val="20"/>
          <w:szCs w:val="20"/>
        </w:rPr>
        <w:cr/>
      </w:r>
    </w:p>
    <w:p w:rsidR="000675FF" w:rsidRPr="00A87C83" w:rsidRDefault="000675FF" w:rsidP="00A87C83">
      <w:pPr>
        <w:jc w:val="both"/>
        <w:rPr>
          <w:rFonts w:ascii="Arial" w:hAnsi="Arial" w:cs="Arial"/>
          <w:sz w:val="20"/>
          <w:szCs w:val="20"/>
        </w:rPr>
      </w:pPr>
      <w:r w:rsidRPr="00A87C83">
        <w:rPr>
          <w:rFonts w:ascii="Arial" w:hAnsi="Arial" w:cs="Arial"/>
          <w:sz w:val="20"/>
          <w:szCs w:val="20"/>
        </w:rPr>
        <w:t>La transferencia de embriones es una biotecnología aplicada para el incremento de la producción animal y la conservación e  intercambio de material genético a nivel mundial. Se presentan las metodologías y avances logrados en el desarrollo de la transferencia embrionaria en la especie ovina, que tienden a incrementar la  eficiencia reproductiva de esta técnica.</w:t>
      </w:r>
    </w:p>
    <w:p w:rsidR="000675FF" w:rsidRPr="00A87C83" w:rsidRDefault="000675FF" w:rsidP="00A87C83">
      <w:pPr>
        <w:jc w:val="both"/>
        <w:rPr>
          <w:rFonts w:ascii="Arial" w:hAnsi="Arial" w:cs="Arial"/>
          <w:sz w:val="20"/>
          <w:szCs w:val="20"/>
        </w:rPr>
      </w:pPr>
      <w:r w:rsidRPr="00A87C83">
        <w:rPr>
          <w:rFonts w:ascii="Arial" w:hAnsi="Arial" w:cs="Arial"/>
          <w:sz w:val="20"/>
          <w:szCs w:val="20"/>
        </w:rPr>
        <w:t>El trasplante de embriones es un método de reproducción  artificial basado en la transferencias de embriones producidos por una hembra donante (madre genéticamente superio</w:t>
      </w:r>
      <w:r w:rsidR="00891151">
        <w:rPr>
          <w:rFonts w:ascii="Arial" w:hAnsi="Arial" w:cs="Arial"/>
          <w:sz w:val="20"/>
          <w:szCs w:val="20"/>
        </w:rPr>
        <w:t xml:space="preserve">r) a hembras receptoras </w:t>
      </w:r>
      <w:r w:rsidRPr="00A87C83">
        <w:rPr>
          <w:rFonts w:ascii="Arial" w:hAnsi="Arial" w:cs="Arial"/>
          <w:sz w:val="20"/>
          <w:szCs w:val="20"/>
        </w:rPr>
        <w:t xml:space="preserve">(madres portadoras) que lo gestan hasta su nacimiento. La producción de embriones ha sido propuesta como una metodología tendiente a la preservación de especies en peligro de extinción, que brinda la posibilidad de disponer de bancos genéticos para su conservación y un reaseguro sanitario para evitar la transición de enfermedades. A su vez, el incremento en la eficiencia de la producción  y congelamiento de embriones podrán ser utilizados para construir rebaños con el mínimo riesgo de ser portadores de enfermedades y permitir una amplia difusión mundial de animales con alto valor genético. </w:t>
      </w:r>
    </w:p>
    <w:p w:rsidR="000675FF" w:rsidRPr="00A87C83" w:rsidRDefault="000675FF" w:rsidP="00A87C83">
      <w:pPr>
        <w:jc w:val="both"/>
        <w:rPr>
          <w:rFonts w:ascii="Arial" w:hAnsi="Arial" w:cs="Arial"/>
          <w:sz w:val="20"/>
          <w:szCs w:val="20"/>
        </w:rPr>
      </w:pPr>
      <w:r w:rsidRPr="00A87C83">
        <w:rPr>
          <w:rFonts w:ascii="Arial" w:hAnsi="Arial" w:cs="Arial"/>
          <w:sz w:val="20"/>
          <w:szCs w:val="20"/>
        </w:rPr>
        <w:t xml:space="preserve">Los tratamientos hormonales para inducir la ovulación múltiple y la trasferencia de embriones, permite utilizar de manera intensiva a las hembras genéticamente superiores en forma similar al aprovechamiento que se realiza con los machos por medio de la inseminación artificial. Sin embargo la transferencia de embriones en ovinos, debido a su alto costo, se encuentra limitada en </w:t>
      </w:r>
      <w:r w:rsidRPr="00A87C83">
        <w:rPr>
          <w:rFonts w:ascii="Arial" w:hAnsi="Arial" w:cs="Arial"/>
          <w:sz w:val="20"/>
          <w:szCs w:val="20"/>
        </w:rPr>
        <w:lastRenderedPageBreak/>
        <w:t>su implementación. Por lo tanto, es necesario lograr maximizar la producción y sobrevivencia de los embriones, y reducir los costos en la obtención de varias crí</w:t>
      </w:r>
      <w:r w:rsidR="00891151">
        <w:rPr>
          <w:rFonts w:ascii="Arial" w:hAnsi="Arial" w:cs="Arial"/>
          <w:sz w:val="20"/>
          <w:szCs w:val="20"/>
        </w:rPr>
        <w:t>as de importante valor genético</w:t>
      </w:r>
      <w:r w:rsidRPr="00A87C83">
        <w:rPr>
          <w:rFonts w:ascii="Arial" w:hAnsi="Arial" w:cs="Arial"/>
          <w:sz w:val="20"/>
          <w:szCs w:val="20"/>
        </w:rPr>
        <w:t>.</w:t>
      </w:r>
    </w:p>
    <w:p w:rsidR="000675FF" w:rsidRDefault="000675FF" w:rsidP="00A87C83">
      <w:pPr>
        <w:jc w:val="both"/>
        <w:rPr>
          <w:rFonts w:ascii="Arial" w:hAnsi="Arial" w:cs="Arial"/>
          <w:sz w:val="20"/>
          <w:szCs w:val="20"/>
        </w:rPr>
      </w:pPr>
      <w:r w:rsidRPr="00A87C83">
        <w:rPr>
          <w:rFonts w:ascii="Arial" w:hAnsi="Arial" w:cs="Arial"/>
          <w:sz w:val="20"/>
          <w:szCs w:val="20"/>
        </w:rPr>
        <w:t>En la actualidad, las investigaciones están orientadas al estudio en la reducción de lata variabilidad reproductiva de la transferencia de embriones, especialmente, en lo que se refiere a la respuesta individual a los tratamientos  para la ovulación múltiple, fertilización, factores embrionarios y maternos de las ovejas receptoras.</w:t>
      </w:r>
    </w:p>
    <w:p w:rsidR="00A87C83" w:rsidRDefault="00A87C83" w:rsidP="00A87C83">
      <w:pPr>
        <w:jc w:val="both"/>
        <w:rPr>
          <w:rFonts w:ascii="Arial" w:hAnsi="Arial" w:cs="Arial"/>
          <w:sz w:val="20"/>
          <w:szCs w:val="20"/>
        </w:rPr>
      </w:pPr>
    </w:p>
    <w:p w:rsidR="00A87C83" w:rsidRDefault="00A87C83" w:rsidP="00A87C83">
      <w:pPr>
        <w:jc w:val="both"/>
        <w:rPr>
          <w:rFonts w:ascii="Arial" w:hAnsi="Arial" w:cs="Arial"/>
          <w:sz w:val="20"/>
          <w:szCs w:val="20"/>
        </w:rPr>
      </w:pPr>
    </w:p>
    <w:p w:rsidR="00891151" w:rsidRPr="00A87C83" w:rsidRDefault="00891151" w:rsidP="00A87C83">
      <w:pPr>
        <w:jc w:val="both"/>
        <w:rPr>
          <w:rFonts w:ascii="Arial" w:hAnsi="Arial" w:cs="Arial"/>
          <w:sz w:val="20"/>
          <w:szCs w:val="20"/>
        </w:rPr>
      </w:pPr>
    </w:p>
    <w:p w:rsidR="000675FF" w:rsidRPr="00A87C83" w:rsidRDefault="000675FF" w:rsidP="00A87C83">
      <w:pPr>
        <w:jc w:val="both"/>
        <w:rPr>
          <w:rFonts w:ascii="Arial" w:hAnsi="Arial" w:cs="Arial"/>
          <w:b/>
          <w:sz w:val="20"/>
          <w:szCs w:val="20"/>
        </w:rPr>
      </w:pPr>
      <w:r w:rsidRPr="00A87C83">
        <w:rPr>
          <w:rFonts w:ascii="Arial" w:hAnsi="Arial" w:cs="Arial"/>
          <w:b/>
          <w:sz w:val="20"/>
          <w:szCs w:val="20"/>
        </w:rPr>
        <w:t>Principios y consideraciones generales sobre la transferencia de embriones</w:t>
      </w:r>
    </w:p>
    <w:p w:rsidR="000675FF" w:rsidRPr="00A87C83" w:rsidRDefault="000675FF" w:rsidP="00A87C83">
      <w:pPr>
        <w:jc w:val="both"/>
        <w:rPr>
          <w:rFonts w:ascii="Arial" w:hAnsi="Arial" w:cs="Arial"/>
          <w:sz w:val="20"/>
          <w:szCs w:val="20"/>
        </w:rPr>
      </w:pPr>
      <w:r w:rsidRPr="00A87C83">
        <w:rPr>
          <w:rFonts w:ascii="Arial" w:hAnsi="Arial" w:cs="Arial"/>
          <w:sz w:val="20"/>
          <w:szCs w:val="20"/>
        </w:rPr>
        <w:t xml:space="preserve">La elección de las hembras donantes se realizara teniendo en cuenta su valor genético y en base a los criterios apropiados de mejoramiento de las aptitudes productivas para </w:t>
      </w:r>
      <w:r w:rsidR="00891151">
        <w:rPr>
          <w:rFonts w:ascii="Arial" w:hAnsi="Arial" w:cs="Arial"/>
          <w:sz w:val="20"/>
          <w:szCs w:val="20"/>
        </w:rPr>
        <w:t>cada raza</w:t>
      </w:r>
      <w:r w:rsidRPr="00A87C83">
        <w:rPr>
          <w:rFonts w:ascii="Arial" w:hAnsi="Arial" w:cs="Arial"/>
          <w:sz w:val="20"/>
          <w:szCs w:val="20"/>
        </w:rPr>
        <w:t>.</w:t>
      </w:r>
      <w:r w:rsidR="00A87C83">
        <w:rPr>
          <w:rFonts w:ascii="Arial" w:hAnsi="Arial" w:cs="Arial"/>
          <w:sz w:val="20"/>
          <w:szCs w:val="20"/>
        </w:rPr>
        <w:t xml:space="preserve"> </w:t>
      </w:r>
      <w:r w:rsidRPr="00A87C83">
        <w:rPr>
          <w:rFonts w:ascii="Arial" w:hAnsi="Arial" w:cs="Arial"/>
          <w:sz w:val="20"/>
          <w:szCs w:val="20"/>
        </w:rPr>
        <w:t>Las condiciones generales de un buen estado reproductivo, sanitario y nutricional son imprescindibles, tanto para las hembras donantes como para las receptoras de embriones. Se debe el control clínico de los animales, los análisis serológicos de enfermedades infectocontagiosas y los controles</w:t>
      </w:r>
      <w:r w:rsidR="00891151">
        <w:rPr>
          <w:rFonts w:ascii="Arial" w:hAnsi="Arial" w:cs="Arial"/>
          <w:sz w:val="20"/>
          <w:szCs w:val="20"/>
        </w:rPr>
        <w:t xml:space="preserve"> parasitarios correspondientes</w:t>
      </w:r>
      <w:r w:rsidRPr="00A87C83">
        <w:rPr>
          <w:rFonts w:ascii="Arial" w:hAnsi="Arial" w:cs="Arial"/>
          <w:sz w:val="20"/>
          <w:szCs w:val="20"/>
        </w:rPr>
        <w:t>.</w:t>
      </w:r>
    </w:p>
    <w:p w:rsidR="000675FF" w:rsidRPr="00A87C83" w:rsidRDefault="000675FF" w:rsidP="00A87C83">
      <w:pPr>
        <w:jc w:val="both"/>
        <w:rPr>
          <w:rFonts w:ascii="Arial" w:hAnsi="Arial" w:cs="Arial"/>
          <w:sz w:val="20"/>
          <w:szCs w:val="20"/>
        </w:rPr>
      </w:pPr>
      <w:r w:rsidRPr="00A87C83">
        <w:rPr>
          <w:rFonts w:ascii="Arial" w:hAnsi="Arial" w:cs="Arial"/>
          <w:sz w:val="20"/>
          <w:szCs w:val="20"/>
        </w:rPr>
        <w:t xml:space="preserve">Es recomendable que las donantes y receptoras hayan tenido al menos una cría, y se debe considerar un mínimo de dos meses (ovinos) a 5 meses (caprinos) post-parto antes de comenzar los tratamientos hormonales. Acortar estos tiempos puede </w:t>
      </w:r>
      <w:r w:rsidR="00891151">
        <w:rPr>
          <w:rFonts w:ascii="Arial" w:hAnsi="Arial" w:cs="Arial"/>
          <w:sz w:val="20"/>
          <w:szCs w:val="20"/>
        </w:rPr>
        <w:t>significar una pobre fertilidad</w:t>
      </w:r>
      <w:r w:rsidRPr="00A87C83">
        <w:rPr>
          <w:rFonts w:ascii="Arial" w:hAnsi="Arial" w:cs="Arial"/>
          <w:sz w:val="20"/>
          <w:szCs w:val="20"/>
        </w:rPr>
        <w:t>.</w:t>
      </w:r>
      <w:r w:rsidR="00A87C83">
        <w:rPr>
          <w:rFonts w:ascii="Arial" w:hAnsi="Arial" w:cs="Arial"/>
          <w:sz w:val="20"/>
          <w:szCs w:val="20"/>
        </w:rPr>
        <w:t xml:space="preserve"> </w:t>
      </w:r>
      <w:r w:rsidRPr="00A87C83">
        <w:rPr>
          <w:rFonts w:ascii="Arial" w:hAnsi="Arial" w:cs="Arial"/>
          <w:sz w:val="20"/>
          <w:szCs w:val="20"/>
        </w:rPr>
        <w:t xml:space="preserve">La necesidad de utilizar hembras jóvenes como donantes puede llevar a una baja eficiencia reproductiva. En el supuesto caso de tratar una hembra nulípara, el peso mínimo deberá ser del 60% del peso adulto de la raza y haber presentado </w:t>
      </w:r>
      <w:proofErr w:type="spellStart"/>
      <w:r w:rsidRPr="00A87C83">
        <w:rPr>
          <w:rFonts w:ascii="Arial" w:hAnsi="Arial" w:cs="Arial"/>
          <w:sz w:val="20"/>
          <w:szCs w:val="20"/>
        </w:rPr>
        <w:t>estros</w:t>
      </w:r>
      <w:proofErr w:type="spellEnd"/>
      <w:r w:rsidRPr="00A87C83">
        <w:rPr>
          <w:rFonts w:ascii="Arial" w:hAnsi="Arial" w:cs="Arial"/>
          <w:sz w:val="20"/>
          <w:szCs w:val="20"/>
        </w:rPr>
        <w:t xml:space="preserve"> anteriores </w:t>
      </w:r>
    </w:p>
    <w:p w:rsidR="000675FF" w:rsidRPr="00A87C83" w:rsidRDefault="000675FF" w:rsidP="00A87C83">
      <w:pPr>
        <w:jc w:val="both"/>
        <w:rPr>
          <w:rFonts w:ascii="Arial" w:hAnsi="Arial" w:cs="Arial"/>
          <w:sz w:val="20"/>
          <w:szCs w:val="20"/>
        </w:rPr>
      </w:pPr>
      <w:r w:rsidRPr="00A87C83">
        <w:rPr>
          <w:rFonts w:ascii="Arial" w:hAnsi="Arial" w:cs="Arial"/>
          <w:sz w:val="20"/>
          <w:szCs w:val="20"/>
        </w:rPr>
        <w:t>Se recomienda no usar borregas como madres receptoras. Lo indicado son las hembras adultas, que pueden lleva</w:t>
      </w:r>
      <w:r w:rsidR="00A87C83">
        <w:rPr>
          <w:rFonts w:ascii="Arial" w:hAnsi="Arial" w:cs="Arial"/>
          <w:sz w:val="20"/>
          <w:szCs w:val="20"/>
        </w:rPr>
        <w:t>r a cabo un buen amamantamiento</w:t>
      </w:r>
      <w:r w:rsidRPr="00A87C83">
        <w:rPr>
          <w:rFonts w:ascii="Arial" w:hAnsi="Arial" w:cs="Arial"/>
          <w:sz w:val="20"/>
          <w:szCs w:val="20"/>
        </w:rPr>
        <w:t>.</w:t>
      </w:r>
      <w:r w:rsidR="00A87C83">
        <w:rPr>
          <w:rFonts w:ascii="Arial" w:hAnsi="Arial" w:cs="Arial"/>
          <w:sz w:val="20"/>
          <w:szCs w:val="20"/>
        </w:rPr>
        <w:t xml:space="preserve"> </w:t>
      </w:r>
      <w:r w:rsidRPr="00A87C83">
        <w:rPr>
          <w:rFonts w:ascii="Arial" w:hAnsi="Arial" w:cs="Arial"/>
          <w:sz w:val="20"/>
          <w:szCs w:val="20"/>
        </w:rPr>
        <w:t>No se debe descuidar los aspectos sanitarios, realizando el control clínico de los animales, las pruebas serológicas de enfermedades infectocontagiosas (Brucelosis, Aftosa, etc.) y los controle</w:t>
      </w:r>
      <w:r w:rsidR="00891151">
        <w:rPr>
          <w:rFonts w:ascii="Arial" w:hAnsi="Arial" w:cs="Arial"/>
          <w:sz w:val="20"/>
          <w:szCs w:val="20"/>
        </w:rPr>
        <w:t>s parasitarios correspondientes</w:t>
      </w:r>
      <w:r w:rsidRPr="00A87C83">
        <w:rPr>
          <w:rFonts w:ascii="Arial" w:hAnsi="Arial" w:cs="Arial"/>
          <w:sz w:val="20"/>
          <w:szCs w:val="20"/>
        </w:rPr>
        <w:t>.</w:t>
      </w:r>
    </w:p>
    <w:p w:rsidR="000675FF" w:rsidRPr="00A87C83" w:rsidRDefault="000675FF" w:rsidP="00A87C83">
      <w:pPr>
        <w:jc w:val="both"/>
        <w:rPr>
          <w:rFonts w:ascii="Arial" w:hAnsi="Arial" w:cs="Arial"/>
          <w:sz w:val="20"/>
          <w:szCs w:val="20"/>
        </w:rPr>
      </w:pPr>
      <w:r w:rsidRPr="00A87C83">
        <w:rPr>
          <w:rFonts w:ascii="Arial" w:hAnsi="Arial" w:cs="Arial"/>
          <w:sz w:val="20"/>
          <w:szCs w:val="20"/>
        </w:rPr>
        <w:t>La transferencia de embriones requiere de una serie de manipulaciones de las donantes receptoras. En el caso de recurrir a instalaciones extrañas, es preferible que los animales tengan un periodo de adaptación previo, de uno a dos meses, ant</w:t>
      </w:r>
      <w:r w:rsidR="00891151">
        <w:rPr>
          <w:rFonts w:ascii="Arial" w:hAnsi="Arial" w:cs="Arial"/>
          <w:sz w:val="20"/>
          <w:szCs w:val="20"/>
        </w:rPr>
        <w:t>es de comenzar los tratamientos</w:t>
      </w:r>
      <w:r w:rsidRPr="00A87C83">
        <w:rPr>
          <w:rFonts w:ascii="Arial" w:hAnsi="Arial" w:cs="Arial"/>
          <w:sz w:val="20"/>
          <w:szCs w:val="20"/>
        </w:rPr>
        <w:t>.</w:t>
      </w:r>
      <w:r w:rsidR="00A87C83">
        <w:rPr>
          <w:rFonts w:ascii="Arial" w:hAnsi="Arial" w:cs="Arial"/>
          <w:sz w:val="20"/>
          <w:szCs w:val="20"/>
        </w:rPr>
        <w:t xml:space="preserve"> </w:t>
      </w:r>
      <w:r w:rsidRPr="00A87C83">
        <w:rPr>
          <w:rFonts w:ascii="Arial" w:hAnsi="Arial" w:cs="Arial"/>
          <w:sz w:val="20"/>
          <w:szCs w:val="20"/>
        </w:rPr>
        <w:t xml:space="preserve">Una vez realizado el tratamiento hormonal de ovulación múltiple, se lleva a cabo la fecundación de los ovocitos. Se puede emplear el servicio natural o inseminación artificial con semen fresco o congelado. Los machos a utilizar también deben </w:t>
      </w:r>
      <w:r w:rsidR="00891151">
        <w:rPr>
          <w:rFonts w:ascii="Arial" w:hAnsi="Arial" w:cs="Arial"/>
          <w:sz w:val="20"/>
          <w:szCs w:val="20"/>
        </w:rPr>
        <w:t>ser de muy alto valor genético</w:t>
      </w:r>
      <w:r w:rsidRPr="00A87C83">
        <w:rPr>
          <w:rFonts w:ascii="Arial" w:hAnsi="Arial" w:cs="Arial"/>
          <w:sz w:val="20"/>
          <w:szCs w:val="20"/>
        </w:rPr>
        <w:t>.</w:t>
      </w:r>
    </w:p>
    <w:p w:rsidR="000675FF" w:rsidRPr="00A87C83" w:rsidRDefault="000675FF" w:rsidP="00A87C83">
      <w:pPr>
        <w:jc w:val="both"/>
        <w:rPr>
          <w:rFonts w:ascii="Arial" w:hAnsi="Arial" w:cs="Arial"/>
          <w:sz w:val="20"/>
          <w:szCs w:val="20"/>
        </w:rPr>
      </w:pPr>
      <w:r w:rsidRPr="00A87C83">
        <w:rPr>
          <w:rFonts w:ascii="Arial" w:hAnsi="Arial" w:cs="Arial"/>
          <w:sz w:val="20"/>
          <w:szCs w:val="20"/>
        </w:rPr>
        <w:t>A partir del 5to al 7mo día de detectado el celo, los embriones se obtienen por vía quirúrgica o bajo control endoscópico. Los mismos pueden ser transferidos a las hembras receptoras, en forma inmediata, o bien ser congelados (crio conservación), para su transporte y posterior transferencia</w:t>
      </w:r>
      <w:r w:rsidR="00891151">
        <w:rPr>
          <w:rFonts w:ascii="Arial" w:hAnsi="Arial" w:cs="Arial"/>
          <w:sz w:val="20"/>
          <w:szCs w:val="20"/>
        </w:rPr>
        <w:t>.</w:t>
      </w:r>
      <w:r w:rsidRPr="00A87C83">
        <w:rPr>
          <w:rFonts w:ascii="Arial" w:hAnsi="Arial" w:cs="Arial"/>
          <w:sz w:val="20"/>
          <w:szCs w:val="20"/>
        </w:rPr>
        <w:t xml:space="preserve"> </w:t>
      </w:r>
    </w:p>
    <w:p w:rsidR="000675FF" w:rsidRPr="00A87C83" w:rsidRDefault="00891151" w:rsidP="00A87C83">
      <w:pPr>
        <w:jc w:val="both"/>
        <w:rPr>
          <w:rFonts w:ascii="Arial" w:hAnsi="Arial" w:cs="Arial"/>
          <w:b/>
          <w:sz w:val="20"/>
          <w:szCs w:val="20"/>
        </w:rPr>
      </w:pPr>
      <w:r w:rsidRPr="00A87C83">
        <w:rPr>
          <w:rFonts w:ascii="Arial" w:hAnsi="Arial" w:cs="Arial"/>
          <w:b/>
          <w:sz w:val="20"/>
          <w:szCs w:val="20"/>
        </w:rPr>
        <w:t>CONCLUSIONES</w:t>
      </w:r>
    </w:p>
    <w:p w:rsidR="000675FF" w:rsidRPr="00A87C83" w:rsidRDefault="000675FF" w:rsidP="00A87C83">
      <w:pPr>
        <w:jc w:val="both"/>
        <w:rPr>
          <w:rFonts w:ascii="Arial" w:hAnsi="Arial" w:cs="Arial"/>
          <w:b/>
          <w:sz w:val="20"/>
          <w:szCs w:val="20"/>
        </w:rPr>
      </w:pPr>
    </w:p>
    <w:p w:rsidR="000675FF" w:rsidRPr="00A87C83" w:rsidRDefault="000675FF" w:rsidP="00A87C83">
      <w:pPr>
        <w:jc w:val="both"/>
        <w:rPr>
          <w:rFonts w:ascii="Arial" w:hAnsi="Arial" w:cs="Arial"/>
          <w:sz w:val="20"/>
          <w:szCs w:val="20"/>
        </w:rPr>
      </w:pPr>
      <w:r w:rsidRPr="00A87C83">
        <w:rPr>
          <w:rFonts w:ascii="Arial" w:hAnsi="Arial" w:cs="Arial"/>
          <w:sz w:val="20"/>
          <w:szCs w:val="20"/>
        </w:rPr>
        <w:t>La transferencia de embriones permite incrementar el número de crías de una hembra genéticamente superior, logrando obtener en promedio 4 crías por tratamiento de ovulación múltiple. Los recientes avances en el incremento de la eficiencia reproductiva en la transferencia de embriones han ampliado la posibilidad de su utilización en los programas de mejoramiento genético aumentando la difusión de los genes de las ovejas de alto valor productivo. Futuras investigaciones serán necesarias para reducir los costos e incrementar el número de crías por oveja donante para facilitar su aplicación comercial, como se ha logrado en la especie bovina.</w:t>
      </w:r>
    </w:p>
    <w:p w:rsidR="000675FF" w:rsidRPr="00A87C83" w:rsidRDefault="000675FF" w:rsidP="00A87C83">
      <w:pPr>
        <w:jc w:val="both"/>
        <w:rPr>
          <w:rFonts w:ascii="Arial" w:hAnsi="Arial" w:cs="Arial"/>
          <w:sz w:val="20"/>
          <w:szCs w:val="20"/>
        </w:rPr>
      </w:pPr>
      <w:r w:rsidRPr="00A87C83">
        <w:rPr>
          <w:rFonts w:ascii="Arial" w:hAnsi="Arial" w:cs="Arial"/>
          <w:sz w:val="20"/>
          <w:szCs w:val="20"/>
        </w:rPr>
        <w:t>No cabe duda que actualmente la transferencia de embriones es el método más seguro en el aspecto sanitario, para realizar la importación de diferentes biotipos de alta producción. El incremento del comercio internacional de material genético mediante la transferencia de embriones demuestra la importancia que tiene esta técnica como reaseguro sanitario frente a las enfermedades exóticas y como herramienta del mejoramiento genético para la producción animal.</w:t>
      </w:r>
    </w:p>
    <w:p w:rsidR="00891151" w:rsidRDefault="00891151" w:rsidP="00A87C83">
      <w:pPr>
        <w:jc w:val="both"/>
        <w:rPr>
          <w:rFonts w:ascii="Arial" w:hAnsi="Arial" w:cs="Arial"/>
          <w:sz w:val="20"/>
          <w:szCs w:val="20"/>
          <w:lang w:val="en-US"/>
        </w:rPr>
      </w:pPr>
    </w:p>
    <w:p w:rsidR="00891151" w:rsidRPr="00891151" w:rsidRDefault="00891151" w:rsidP="00A87C83">
      <w:pPr>
        <w:jc w:val="both"/>
        <w:rPr>
          <w:rFonts w:ascii="Arial" w:hAnsi="Arial" w:cs="Arial"/>
          <w:b/>
          <w:sz w:val="20"/>
          <w:szCs w:val="20"/>
          <w:lang w:val="en-US"/>
        </w:rPr>
      </w:pPr>
      <w:r w:rsidRPr="00891151">
        <w:rPr>
          <w:rFonts w:ascii="Arial" w:hAnsi="Arial" w:cs="Arial"/>
          <w:b/>
          <w:sz w:val="20"/>
          <w:szCs w:val="20"/>
          <w:lang w:val="en-US"/>
        </w:rPr>
        <w:t>BIBLIOGRAFIA</w:t>
      </w:r>
    </w:p>
    <w:p w:rsidR="000675FF" w:rsidRPr="00A87C83" w:rsidRDefault="000675FF" w:rsidP="00A87C83">
      <w:pPr>
        <w:jc w:val="both"/>
        <w:rPr>
          <w:rFonts w:ascii="Arial" w:hAnsi="Arial" w:cs="Arial"/>
          <w:sz w:val="20"/>
          <w:szCs w:val="20"/>
          <w:lang w:val="en-US"/>
        </w:rPr>
      </w:pPr>
      <w:r w:rsidRPr="00A87C83">
        <w:rPr>
          <w:rFonts w:ascii="Arial" w:hAnsi="Arial" w:cs="Arial"/>
          <w:sz w:val="20"/>
          <w:szCs w:val="20"/>
          <w:lang w:val="en-US"/>
        </w:rPr>
        <w:t xml:space="preserve">Armstrong DT, Evans G. 1983. Factors influencing success of embryo transfer in sheep </w:t>
      </w:r>
      <w:proofErr w:type="spellStart"/>
      <w:r w:rsidRPr="00A87C83">
        <w:rPr>
          <w:rFonts w:ascii="Arial" w:hAnsi="Arial" w:cs="Arial"/>
          <w:sz w:val="20"/>
          <w:szCs w:val="20"/>
          <w:lang w:val="en-US"/>
        </w:rPr>
        <w:t>andgoats</w:t>
      </w:r>
      <w:proofErr w:type="spellEnd"/>
      <w:r w:rsidRPr="00A87C83">
        <w:rPr>
          <w:rFonts w:ascii="Arial" w:hAnsi="Arial" w:cs="Arial"/>
          <w:sz w:val="20"/>
          <w:szCs w:val="20"/>
          <w:lang w:val="en-US"/>
        </w:rPr>
        <w:t xml:space="preserve">. </w:t>
      </w:r>
      <w:proofErr w:type="spellStart"/>
      <w:r w:rsidRPr="00A87C83">
        <w:rPr>
          <w:rFonts w:ascii="Arial" w:hAnsi="Arial" w:cs="Arial"/>
          <w:sz w:val="20"/>
          <w:szCs w:val="20"/>
          <w:lang w:val="en-US"/>
        </w:rPr>
        <w:t>Theriogenology</w:t>
      </w:r>
      <w:proofErr w:type="spellEnd"/>
      <w:r w:rsidRPr="00A87C83">
        <w:rPr>
          <w:rFonts w:ascii="Arial" w:hAnsi="Arial" w:cs="Arial"/>
          <w:sz w:val="20"/>
          <w:szCs w:val="20"/>
          <w:lang w:val="en-US"/>
        </w:rPr>
        <w:t xml:space="preserve"> 19: 31-42.</w:t>
      </w:r>
    </w:p>
    <w:p w:rsidR="000675FF" w:rsidRPr="00A87C83" w:rsidRDefault="000675FF" w:rsidP="00A87C83">
      <w:pPr>
        <w:jc w:val="both"/>
        <w:rPr>
          <w:rFonts w:ascii="Arial" w:hAnsi="Arial" w:cs="Arial"/>
          <w:sz w:val="20"/>
          <w:szCs w:val="20"/>
          <w:lang w:val="en-US"/>
        </w:rPr>
      </w:pPr>
      <w:r w:rsidRPr="00A87C83">
        <w:rPr>
          <w:rFonts w:ascii="Arial" w:hAnsi="Arial" w:cs="Arial"/>
          <w:sz w:val="20"/>
          <w:szCs w:val="20"/>
          <w:lang w:val="en-US"/>
        </w:rPr>
        <w:t xml:space="preserve"> Armstrong DT, Evans G. 1984. Intrauterine insemination enhances fertility of frozen semen in </w:t>
      </w:r>
      <w:proofErr w:type="spellStart"/>
      <w:r w:rsidRPr="00A87C83">
        <w:rPr>
          <w:rFonts w:ascii="Arial" w:hAnsi="Arial" w:cs="Arial"/>
          <w:sz w:val="20"/>
          <w:szCs w:val="20"/>
          <w:lang w:val="en-US"/>
        </w:rPr>
        <w:t>superovulated</w:t>
      </w:r>
      <w:proofErr w:type="spellEnd"/>
      <w:r w:rsidRPr="00A87C83">
        <w:rPr>
          <w:rFonts w:ascii="Arial" w:hAnsi="Arial" w:cs="Arial"/>
          <w:sz w:val="20"/>
          <w:szCs w:val="20"/>
          <w:lang w:val="en-US"/>
        </w:rPr>
        <w:t xml:space="preserve"> ewes. J. </w:t>
      </w:r>
      <w:proofErr w:type="spellStart"/>
      <w:r w:rsidRPr="00A87C83">
        <w:rPr>
          <w:rFonts w:ascii="Arial" w:hAnsi="Arial" w:cs="Arial"/>
          <w:sz w:val="20"/>
          <w:szCs w:val="20"/>
          <w:lang w:val="en-US"/>
        </w:rPr>
        <w:t>Reprod</w:t>
      </w:r>
      <w:proofErr w:type="spellEnd"/>
      <w:r w:rsidRPr="00A87C83">
        <w:rPr>
          <w:rFonts w:ascii="Arial" w:hAnsi="Arial" w:cs="Arial"/>
          <w:sz w:val="20"/>
          <w:szCs w:val="20"/>
          <w:lang w:val="en-US"/>
        </w:rPr>
        <w:t xml:space="preserve">. </w:t>
      </w:r>
      <w:proofErr w:type="spellStart"/>
      <w:r w:rsidRPr="00A87C83">
        <w:rPr>
          <w:rFonts w:ascii="Arial" w:hAnsi="Arial" w:cs="Arial"/>
          <w:sz w:val="20"/>
          <w:szCs w:val="20"/>
          <w:lang w:val="en-US"/>
        </w:rPr>
        <w:t>Fert</w:t>
      </w:r>
      <w:proofErr w:type="spellEnd"/>
      <w:r w:rsidRPr="00A87C83">
        <w:rPr>
          <w:rFonts w:ascii="Arial" w:hAnsi="Arial" w:cs="Arial"/>
          <w:sz w:val="20"/>
          <w:szCs w:val="20"/>
          <w:lang w:val="en-US"/>
        </w:rPr>
        <w:t>. 71: 89-94.</w:t>
      </w:r>
    </w:p>
    <w:p w:rsidR="000675FF" w:rsidRPr="00A87C83" w:rsidRDefault="000675FF" w:rsidP="00A87C83">
      <w:pPr>
        <w:jc w:val="both"/>
        <w:rPr>
          <w:rFonts w:ascii="Arial" w:hAnsi="Arial" w:cs="Arial"/>
          <w:sz w:val="20"/>
          <w:szCs w:val="20"/>
          <w:lang w:val="en-US"/>
        </w:rPr>
      </w:pPr>
      <w:r w:rsidRPr="00A87C83">
        <w:rPr>
          <w:rFonts w:ascii="Arial" w:hAnsi="Arial" w:cs="Arial"/>
          <w:sz w:val="20"/>
          <w:szCs w:val="20"/>
          <w:lang w:val="en-US"/>
        </w:rPr>
        <w:t>Bari, F.</w:t>
      </w:r>
      <w:proofErr w:type="gramStart"/>
      <w:r w:rsidRPr="00A87C83">
        <w:rPr>
          <w:rFonts w:ascii="Arial" w:hAnsi="Arial" w:cs="Arial"/>
          <w:sz w:val="20"/>
          <w:szCs w:val="20"/>
          <w:lang w:val="en-US"/>
        </w:rPr>
        <w:t>,M</w:t>
      </w:r>
      <w:proofErr w:type="gramEnd"/>
      <w:r w:rsidRPr="00A87C83">
        <w:rPr>
          <w:rFonts w:ascii="Arial" w:hAnsi="Arial" w:cs="Arial"/>
          <w:sz w:val="20"/>
          <w:szCs w:val="20"/>
          <w:lang w:val="en-US"/>
        </w:rPr>
        <w:t xml:space="preserve">. Khalid, </w:t>
      </w:r>
      <w:proofErr w:type="spellStart"/>
      <w:r w:rsidRPr="00A87C83">
        <w:rPr>
          <w:rFonts w:ascii="Arial" w:hAnsi="Arial" w:cs="Arial"/>
          <w:sz w:val="20"/>
          <w:szCs w:val="20"/>
          <w:lang w:val="en-US"/>
        </w:rPr>
        <w:t>W.Haresing</w:t>
      </w:r>
      <w:proofErr w:type="spellEnd"/>
      <w:r w:rsidRPr="00A87C83">
        <w:rPr>
          <w:rFonts w:ascii="Arial" w:hAnsi="Arial" w:cs="Arial"/>
          <w:sz w:val="20"/>
          <w:szCs w:val="20"/>
          <w:lang w:val="en-US"/>
        </w:rPr>
        <w:t xml:space="preserve">, A. Murray, y B. Merrell.2003. Factors affecting the survival of sheep embryos after transfer within a MOET program. </w:t>
      </w:r>
      <w:proofErr w:type="spellStart"/>
      <w:r w:rsidRPr="00A87C83">
        <w:rPr>
          <w:rFonts w:ascii="Arial" w:hAnsi="Arial" w:cs="Arial"/>
          <w:sz w:val="20"/>
          <w:szCs w:val="20"/>
          <w:lang w:val="en-US"/>
        </w:rPr>
        <w:t>Theriogenology</w:t>
      </w:r>
      <w:proofErr w:type="spellEnd"/>
      <w:r w:rsidRPr="00A87C83">
        <w:rPr>
          <w:rFonts w:ascii="Arial" w:hAnsi="Arial" w:cs="Arial"/>
          <w:sz w:val="20"/>
          <w:szCs w:val="20"/>
          <w:lang w:val="en-US"/>
        </w:rPr>
        <w:t>. 59: 1265-1275.</w:t>
      </w:r>
    </w:p>
    <w:p w:rsidR="000675FF" w:rsidRPr="00A87C83" w:rsidRDefault="000675FF" w:rsidP="00A87C83">
      <w:pPr>
        <w:jc w:val="both"/>
        <w:rPr>
          <w:rFonts w:ascii="Arial" w:hAnsi="Arial" w:cs="Arial"/>
          <w:sz w:val="20"/>
          <w:szCs w:val="20"/>
          <w:lang w:val="en-US"/>
        </w:rPr>
      </w:pPr>
      <w:r w:rsidRPr="00A87C83">
        <w:rPr>
          <w:rFonts w:ascii="Arial" w:hAnsi="Arial" w:cs="Arial"/>
          <w:sz w:val="20"/>
          <w:szCs w:val="20"/>
          <w:lang w:val="en-US"/>
        </w:rPr>
        <w:t xml:space="preserve">Bari, F., M. Khalid, </w:t>
      </w:r>
      <w:proofErr w:type="spellStart"/>
      <w:r w:rsidRPr="00A87C83">
        <w:rPr>
          <w:rFonts w:ascii="Arial" w:hAnsi="Arial" w:cs="Arial"/>
          <w:sz w:val="20"/>
          <w:szCs w:val="20"/>
          <w:lang w:val="en-US"/>
        </w:rPr>
        <w:t>W.Haresing</w:t>
      </w:r>
      <w:proofErr w:type="spellEnd"/>
      <w:r w:rsidRPr="00A87C83">
        <w:rPr>
          <w:rFonts w:ascii="Arial" w:hAnsi="Arial" w:cs="Arial"/>
          <w:sz w:val="20"/>
          <w:szCs w:val="20"/>
          <w:lang w:val="en-US"/>
        </w:rPr>
        <w:t xml:space="preserve">, A. Murray, y B. Merrell.2000. Effect of mating system, flushing procedure, progesterone dose and donor ewe age on the yield and quality of embryos within a MOET program in sheep. </w:t>
      </w:r>
      <w:proofErr w:type="spellStart"/>
      <w:r w:rsidRPr="00A87C83">
        <w:rPr>
          <w:rFonts w:ascii="Arial" w:hAnsi="Arial" w:cs="Arial"/>
          <w:sz w:val="20"/>
          <w:szCs w:val="20"/>
          <w:lang w:val="en-US"/>
        </w:rPr>
        <w:t>Theriogenology</w:t>
      </w:r>
      <w:proofErr w:type="spellEnd"/>
      <w:r w:rsidRPr="00A87C83">
        <w:rPr>
          <w:rFonts w:ascii="Arial" w:hAnsi="Arial" w:cs="Arial"/>
          <w:sz w:val="20"/>
          <w:szCs w:val="20"/>
          <w:lang w:val="en-US"/>
        </w:rPr>
        <w:t>. 53: 727-742.</w:t>
      </w:r>
    </w:p>
    <w:p w:rsidR="000675FF" w:rsidRPr="00A87C83" w:rsidRDefault="000675FF" w:rsidP="00A87C83">
      <w:pPr>
        <w:jc w:val="both"/>
        <w:rPr>
          <w:rFonts w:ascii="Arial" w:hAnsi="Arial" w:cs="Arial"/>
          <w:sz w:val="20"/>
          <w:szCs w:val="20"/>
          <w:lang w:val="en-US"/>
        </w:rPr>
      </w:pPr>
      <w:proofErr w:type="spellStart"/>
      <w:r w:rsidRPr="00A87C83">
        <w:rPr>
          <w:rFonts w:ascii="Arial" w:hAnsi="Arial" w:cs="Arial"/>
          <w:sz w:val="20"/>
          <w:szCs w:val="20"/>
          <w:lang w:val="en-US"/>
        </w:rPr>
        <w:t>Baril</w:t>
      </w:r>
      <w:proofErr w:type="spellEnd"/>
      <w:r w:rsidRPr="00A87C83">
        <w:rPr>
          <w:rFonts w:ascii="Arial" w:hAnsi="Arial" w:cs="Arial"/>
          <w:sz w:val="20"/>
          <w:szCs w:val="20"/>
          <w:lang w:val="en-US"/>
        </w:rPr>
        <w:t xml:space="preserve"> G, </w:t>
      </w:r>
      <w:proofErr w:type="spellStart"/>
      <w:r w:rsidRPr="00A87C83">
        <w:rPr>
          <w:rFonts w:ascii="Arial" w:hAnsi="Arial" w:cs="Arial"/>
          <w:sz w:val="20"/>
          <w:szCs w:val="20"/>
          <w:lang w:val="en-US"/>
        </w:rPr>
        <w:t>Casamitjana</w:t>
      </w:r>
      <w:proofErr w:type="spellEnd"/>
      <w:r w:rsidRPr="00A87C83">
        <w:rPr>
          <w:rFonts w:ascii="Arial" w:hAnsi="Arial" w:cs="Arial"/>
          <w:sz w:val="20"/>
          <w:szCs w:val="20"/>
          <w:lang w:val="en-US"/>
        </w:rPr>
        <w:t xml:space="preserve"> P, Perrin J, </w:t>
      </w:r>
      <w:proofErr w:type="spellStart"/>
      <w:r w:rsidRPr="00A87C83">
        <w:rPr>
          <w:rFonts w:ascii="Arial" w:hAnsi="Arial" w:cs="Arial"/>
          <w:sz w:val="20"/>
          <w:szCs w:val="20"/>
          <w:lang w:val="en-US"/>
        </w:rPr>
        <w:t>Vallet</w:t>
      </w:r>
      <w:proofErr w:type="spellEnd"/>
      <w:r w:rsidRPr="00A87C83">
        <w:rPr>
          <w:rFonts w:ascii="Arial" w:hAnsi="Arial" w:cs="Arial"/>
          <w:sz w:val="20"/>
          <w:szCs w:val="20"/>
          <w:lang w:val="en-US"/>
        </w:rPr>
        <w:t xml:space="preserve"> JC. 1989. Embryo production, freezing and transfer in Angora, Alpine and </w:t>
      </w:r>
      <w:proofErr w:type="spellStart"/>
      <w:r w:rsidRPr="00A87C83">
        <w:rPr>
          <w:rFonts w:ascii="Arial" w:hAnsi="Arial" w:cs="Arial"/>
          <w:sz w:val="20"/>
          <w:szCs w:val="20"/>
          <w:lang w:val="en-US"/>
        </w:rPr>
        <w:t>Saanen</w:t>
      </w:r>
      <w:proofErr w:type="spellEnd"/>
      <w:r w:rsidRPr="00A87C83">
        <w:rPr>
          <w:rFonts w:ascii="Arial" w:hAnsi="Arial" w:cs="Arial"/>
          <w:sz w:val="20"/>
          <w:szCs w:val="20"/>
          <w:lang w:val="en-US"/>
        </w:rPr>
        <w:t xml:space="preserve"> goats. </w:t>
      </w:r>
      <w:proofErr w:type="spellStart"/>
      <w:r w:rsidRPr="00A87C83">
        <w:rPr>
          <w:rFonts w:ascii="Arial" w:hAnsi="Arial" w:cs="Arial"/>
          <w:sz w:val="20"/>
          <w:szCs w:val="20"/>
          <w:lang w:val="en-US"/>
        </w:rPr>
        <w:t>Zuchthyg</w:t>
      </w:r>
      <w:proofErr w:type="spellEnd"/>
      <w:r w:rsidRPr="00A87C83">
        <w:rPr>
          <w:rFonts w:ascii="Arial" w:hAnsi="Arial" w:cs="Arial"/>
          <w:sz w:val="20"/>
          <w:szCs w:val="20"/>
          <w:lang w:val="en-US"/>
        </w:rPr>
        <w:t xml:space="preserve"> 24: 101-115.</w:t>
      </w:r>
    </w:p>
    <w:p w:rsidR="000675FF" w:rsidRPr="00A87C83" w:rsidRDefault="000675FF" w:rsidP="00A87C83">
      <w:pPr>
        <w:jc w:val="both"/>
        <w:rPr>
          <w:rFonts w:ascii="Arial" w:hAnsi="Arial" w:cs="Arial"/>
          <w:sz w:val="20"/>
          <w:szCs w:val="20"/>
          <w:lang w:val="en-US"/>
        </w:rPr>
      </w:pPr>
      <w:proofErr w:type="spellStart"/>
      <w:r w:rsidRPr="00A87C83">
        <w:rPr>
          <w:rFonts w:ascii="Arial" w:hAnsi="Arial" w:cs="Arial"/>
          <w:sz w:val="20"/>
          <w:szCs w:val="20"/>
          <w:lang w:val="en-US"/>
        </w:rPr>
        <w:t>Baril</w:t>
      </w:r>
      <w:proofErr w:type="spellEnd"/>
      <w:r w:rsidRPr="00A87C83">
        <w:rPr>
          <w:rFonts w:ascii="Arial" w:hAnsi="Arial" w:cs="Arial"/>
          <w:sz w:val="20"/>
          <w:szCs w:val="20"/>
          <w:lang w:val="en-US"/>
        </w:rPr>
        <w:t xml:space="preserve"> G, </w:t>
      </w:r>
      <w:proofErr w:type="spellStart"/>
      <w:r w:rsidRPr="00A87C83">
        <w:rPr>
          <w:rFonts w:ascii="Arial" w:hAnsi="Arial" w:cs="Arial"/>
          <w:sz w:val="20"/>
          <w:szCs w:val="20"/>
          <w:lang w:val="en-US"/>
        </w:rPr>
        <w:t>Vallet</w:t>
      </w:r>
      <w:proofErr w:type="spellEnd"/>
      <w:r w:rsidRPr="00A87C83">
        <w:rPr>
          <w:rFonts w:ascii="Arial" w:hAnsi="Arial" w:cs="Arial"/>
          <w:sz w:val="20"/>
          <w:szCs w:val="20"/>
          <w:lang w:val="en-US"/>
        </w:rPr>
        <w:t xml:space="preserve"> JC. 1990a. Effect of seasons on embryo production in dairy goat hand mated or </w:t>
      </w:r>
      <w:proofErr w:type="spellStart"/>
      <w:r w:rsidRPr="00A87C83">
        <w:rPr>
          <w:rFonts w:ascii="Arial" w:hAnsi="Arial" w:cs="Arial"/>
          <w:sz w:val="20"/>
          <w:szCs w:val="20"/>
          <w:lang w:val="en-US"/>
        </w:rPr>
        <w:t>cervically</w:t>
      </w:r>
      <w:proofErr w:type="spellEnd"/>
      <w:r w:rsidRPr="00A87C83">
        <w:rPr>
          <w:rFonts w:ascii="Arial" w:hAnsi="Arial" w:cs="Arial"/>
          <w:sz w:val="20"/>
          <w:szCs w:val="20"/>
          <w:lang w:val="en-US"/>
        </w:rPr>
        <w:t xml:space="preserve"> inseminated after </w:t>
      </w:r>
      <w:proofErr w:type="spellStart"/>
      <w:r w:rsidRPr="00A87C83">
        <w:rPr>
          <w:rFonts w:ascii="Arial" w:hAnsi="Arial" w:cs="Arial"/>
          <w:sz w:val="20"/>
          <w:szCs w:val="20"/>
          <w:lang w:val="en-US"/>
        </w:rPr>
        <w:t>superovulated</w:t>
      </w:r>
      <w:proofErr w:type="spellEnd"/>
      <w:r w:rsidRPr="00A87C83">
        <w:rPr>
          <w:rFonts w:ascii="Arial" w:hAnsi="Arial" w:cs="Arial"/>
          <w:sz w:val="20"/>
          <w:szCs w:val="20"/>
          <w:lang w:val="en-US"/>
        </w:rPr>
        <w:t xml:space="preserve"> treatment. 6th Scientific Meeting of European Embryo Transfer Association, Lyon, France, 1: 118 (</w:t>
      </w:r>
      <w:proofErr w:type="spellStart"/>
      <w:r w:rsidRPr="00A87C83">
        <w:rPr>
          <w:rFonts w:ascii="Arial" w:hAnsi="Arial" w:cs="Arial"/>
          <w:sz w:val="20"/>
          <w:szCs w:val="20"/>
          <w:lang w:val="en-US"/>
        </w:rPr>
        <w:t>abstr</w:t>
      </w:r>
      <w:proofErr w:type="spellEnd"/>
      <w:r w:rsidRPr="00A87C83">
        <w:rPr>
          <w:rFonts w:ascii="Arial" w:hAnsi="Arial" w:cs="Arial"/>
          <w:sz w:val="20"/>
          <w:szCs w:val="20"/>
          <w:lang w:val="en-US"/>
        </w:rPr>
        <w:t>).</w:t>
      </w:r>
    </w:p>
    <w:p w:rsidR="000675FF" w:rsidRPr="00A87C83" w:rsidRDefault="000675FF" w:rsidP="00A87C83">
      <w:pPr>
        <w:jc w:val="both"/>
        <w:rPr>
          <w:rFonts w:ascii="Arial" w:hAnsi="Arial" w:cs="Arial"/>
          <w:sz w:val="20"/>
          <w:szCs w:val="20"/>
          <w:lang w:val="en-US"/>
        </w:rPr>
      </w:pPr>
      <w:proofErr w:type="spellStart"/>
      <w:r w:rsidRPr="00A87C83">
        <w:rPr>
          <w:rFonts w:ascii="Arial" w:hAnsi="Arial" w:cs="Arial"/>
          <w:sz w:val="20"/>
          <w:szCs w:val="20"/>
          <w:lang w:val="en-US"/>
        </w:rPr>
        <w:t>Baril</w:t>
      </w:r>
      <w:proofErr w:type="spellEnd"/>
      <w:r w:rsidRPr="00A87C83">
        <w:rPr>
          <w:rFonts w:ascii="Arial" w:hAnsi="Arial" w:cs="Arial"/>
          <w:sz w:val="20"/>
          <w:szCs w:val="20"/>
          <w:lang w:val="en-US"/>
        </w:rPr>
        <w:t xml:space="preserve"> G, </w:t>
      </w:r>
      <w:proofErr w:type="spellStart"/>
      <w:r w:rsidRPr="00A87C83">
        <w:rPr>
          <w:rFonts w:ascii="Arial" w:hAnsi="Arial" w:cs="Arial"/>
          <w:sz w:val="20"/>
          <w:szCs w:val="20"/>
          <w:lang w:val="en-US"/>
        </w:rPr>
        <w:t>Brebion</w:t>
      </w:r>
      <w:proofErr w:type="spellEnd"/>
      <w:r w:rsidRPr="00A87C83">
        <w:rPr>
          <w:rFonts w:ascii="Arial" w:hAnsi="Arial" w:cs="Arial"/>
          <w:sz w:val="20"/>
          <w:szCs w:val="20"/>
          <w:lang w:val="en-US"/>
        </w:rPr>
        <w:t xml:space="preserve">, P, </w:t>
      </w:r>
      <w:proofErr w:type="spellStart"/>
      <w:r w:rsidRPr="00A87C83">
        <w:rPr>
          <w:rFonts w:ascii="Arial" w:hAnsi="Arial" w:cs="Arial"/>
          <w:sz w:val="20"/>
          <w:szCs w:val="20"/>
          <w:lang w:val="en-US"/>
        </w:rPr>
        <w:t>Chesné</w:t>
      </w:r>
      <w:proofErr w:type="spellEnd"/>
      <w:r w:rsidRPr="00A87C83">
        <w:rPr>
          <w:rFonts w:ascii="Arial" w:hAnsi="Arial" w:cs="Arial"/>
          <w:sz w:val="20"/>
          <w:szCs w:val="20"/>
          <w:lang w:val="en-US"/>
        </w:rPr>
        <w:t xml:space="preserve"> P. 1993. </w:t>
      </w:r>
      <w:r w:rsidRPr="00A87C83">
        <w:rPr>
          <w:rFonts w:ascii="Arial" w:hAnsi="Arial" w:cs="Arial"/>
          <w:sz w:val="20"/>
          <w:szCs w:val="20"/>
        </w:rPr>
        <w:t xml:space="preserve">Manuel de </w:t>
      </w:r>
      <w:proofErr w:type="spellStart"/>
      <w:r w:rsidRPr="00A87C83">
        <w:rPr>
          <w:rFonts w:ascii="Arial" w:hAnsi="Arial" w:cs="Arial"/>
          <w:sz w:val="20"/>
          <w:szCs w:val="20"/>
        </w:rPr>
        <w:t>formation</w:t>
      </w:r>
      <w:proofErr w:type="spellEnd"/>
      <w:r w:rsidRPr="00A87C83">
        <w:rPr>
          <w:rFonts w:ascii="Arial" w:hAnsi="Arial" w:cs="Arial"/>
          <w:sz w:val="20"/>
          <w:szCs w:val="20"/>
        </w:rPr>
        <w:t xml:space="preserve"> </w:t>
      </w:r>
      <w:proofErr w:type="spellStart"/>
      <w:r w:rsidRPr="00A87C83">
        <w:rPr>
          <w:rFonts w:ascii="Arial" w:hAnsi="Arial" w:cs="Arial"/>
          <w:sz w:val="20"/>
          <w:szCs w:val="20"/>
        </w:rPr>
        <w:t>pour</w:t>
      </w:r>
      <w:proofErr w:type="spellEnd"/>
      <w:r w:rsidRPr="00A87C83">
        <w:rPr>
          <w:rFonts w:ascii="Arial" w:hAnsi="Arial" w:cs="Arial"/>
          <w:sz w:val="20"/>
          <w:szCs w:val="20"/>
        </w:rPr>
        <w:t xml:space="preserve"> la </w:t>
      </w:r>
      <w:proofErr w:type="spellStart"/>
      <w:r w:rsidRPr="00A87C83">
        <w:rPr>
          <w:rFonts w:ascii="Arial" w:hAnsi="Arial" w:cs="Arial"/>
          <w:sz w:val="20"/>
          <w:szCs w:val="20"/>
        </w:rPr>
        <w:t>transplantation</w:t>
      </w:r>
      <w:proofErr w:type="spellEnd"/>
      <w:r w:rsidRPr="00A87C83">
        <w:rPr>
          <w:rFonts w:ascii="Arial" w:hAnsi="Arial" w:cs="Arial"/>
          <w:sz w:val="20"/>
          <w:szCs w:val="20"/>
        </w:rPr>
        <w:t xml:space="preserve"> </w:t>
      </w:r>
      <w:proofErr w:type="spellStart"/>
      <w:r w:rsidRPr="00A87C83">
        <w:rPr>
          <w:rFonts w:ascii="Arial" w:hAnsi="Arial" w:cs="Arial"/>
          <w:sz w:val="20"/>
          <w:szCs w:val="20"/>
        </w:rPr>
        <w:t>embryonnaire</w:t>
      </w:r>
      <w:proofErr w:type="spellEnd"/>
      <w:r w:rsidRPr="00A87C83">
        <w:rPr>
          <w:rFonts w:ascii="Arial" w:hAnsi="Arial" w:cs="Arial"/>
          <w:sz w:val="20"/>
          <w:szCs w:val="20"/>
        </w:rPr>
        <w:t xml:space="preserve"> </w:t>
      </w:r>
      <w:proofErr w:type="spellStart"/>
      <w:r w:rsidRPr="00A87C83">
        <w:rPr>
          <w:rFonts w:ascii="Arial" w:hAnsi="Arial" w:cs="Arial"/>
          <w:sz w:val="20"/>
          <w:szCs w:val="20"/>
        </w:rPr>
        <w:t>chez</w:t>
      </w:r>
      <w:proofErr w:type="spellEnd"/>
      <w:r w:rsidRPr="00A87C83">
        <w:rPr>
          <w:rFonts w:ascii="Arial" w:hAnsi="Arial" w:cs="Arial"/>
          <w:sz w:val="20"/>
          <w:szCs w:val="20"/>
        </w:rPr>
        <w:t xml:space="preserve"> la </w:t>
      </w:r>
      <w:proofErr w:type="spellStart"/>
      <w:r w:rsidRPr="00A87C83">
        <w:rPr>
          <w:rFonts w:ascii="Arial" w:hAnsi="Arial" w:cs="Arial"/>
          <w:sz w:val="20"/>
          <w:szCs w:val="20"/>
        </w:rPr>
        <w:t>brebis</w:t>
      </w:r>
      <w:proofErr w:type="spellEnd"/>
      <w:r w:rsidRPr="00A87C83">
        <w:rPr>
          <w:rFonts w:ascii="Arial" w:hAnsi="Arial" w:cs="Arial"/>
          <w:sz w:val="20"/>
          <w:szCs w:val="20"/>
        </w:rPr>
        <w:t xml:space="preserve"> et la </w:t>
      </w:r>
      <w:proofErr w:type="spellStart"/>
      <w:r w:rsidRPr="00A87C83">
        <w:rPr>
          <w:rFonts w:ascii="Arial" w:hAnsi="Arial" w:cs="Arial"/>
          <w:sz w:val="20"/>
          <w:szCs w:val="20"/>
        </w:rPr>
        <w:t>ch`evre</w:t>
      </w:r>
      <w:proofErr w:type="spellEnd"/>
      <w:r w:rsidRPr="00A87C83">
        <w:rPr>
          <w:rFonts w:ascii="Arial" w:hAnsi="Arial" w:cs="Arial"/>
          <w:sz w:val="20"/>
          <w:szCs w:val="20"/>
        </w:rPr>
        <w:t xml:space="preserve">. </w:t>
      </w:r>
      <w:r w:rsidRPr="00A87C83">
        <w:rPr>
          <w:rFonts w:ascii="Arial" w:hAnsi="Arial" w:cs="Arial"/>
          <w:sz w:val="20"/>
          <w:szCs w:val="20"/>
          <w:lang w:val="en-US"/>
        </w:rPr>
        <w:t>FAO 115, ISSN, 1014–1099.</w:t>
      </w:r>
    </w:p>
    <w:p w:rsidR="000675FF" w:rsidRPr="00A87C83" w:rsidRDefault="000675FF" w:rsidP="00A87C83">
      <w:pPr>
        <w:jc w:val="both"/>
        <w:rPr>
          <w:rFonts w:ascii="Arial" w:hAnsi="Arial" w:cs="Arial"/>
          <w:sz w:val="20"/>
          <w:szCs w:val="20"/>
          <w:lang w:val="en-US"/>
        </w:rPr>
      </w:pPr>
      <w:proofErr w:type="spellStart"/>
      <w:r w:rsidRPr="00A87C83">
        <w:rPr>
          <w:rFonts w:ascii="Arial" w:hAnsi="Arial" w:cs="Arial"/>
          <w:sz w:val="20"/>
          <w:szCs w:val="20"/>
          <w:lang w:val="en-US"/>
        </w:rPr>
        <w:t>Batt</w:t>
      </w:r>
      <w:proofErr w:type="spellEnd"/>
      <w:r w:rsidRPr="00A87C83">
        <w:rPr>
          <w:rFonts w:ascii="Arial" w:hAnsi="Arial" w:cs="Arial"/>
          <w:sz w:val="20"/>
          <w:szCs w:val="20"/>
          <w:lang w:val="en-US"/>
        </w:rPr>
        <w:t xml:space="preserve">, P.A., Killeen, D., Cameron, W.N. 1993. Use of single or multiple injection of FSH in embryo collection </w:t>
      </w:r>
      <w:proofErr w:type="spellStart"/>
      <w:r w:rsidRPr="00A87C83">
        <w:rPr>
          <w:rFonts w:ascii="Arial" w:hAnsi="Arial" w:cs="Arial"/>
          <w:sz w:val="20"/>
          <w:szCs w:val="20"/>
          <w:lang w:val="en-US"/>
        </w:rPr>
        <w:t>programmes</w:t>
      </w:r>
      <w:proofErr w:type="spellEnd"/>
      <w:r w:rsidRPr="00A87C83">
        <w:rPr>
          <w:rFonts w:ascii="Arial" w:hAnsi="Arial" w:cs="Arial"/>
          <w:sz w:val="20"/>
          <w:szCs w:val="20"/>
          <w:lang w:val="en-US"/>
        </w:rPr>
        <w:t xml:space="preserve"> in goats. </w:t>
      </w:r>
      <w:proofErr w:type="spellStart"/>
      <w:r w:rsidRPr="00A87C83">
        <w:rPr>
          <w:rFonts w:ascii="Arial" w:hAnsi="Arial" w:cs="Arial"/>
          <w:sz w:val="20"/>
          <w:szCs w:val="20"/>
          <w:lang w:val="en-US"/>
        </w:rPr>
        <w:t>Reprod</w:t>
      </w:r>
      <w:proofErr w:type="spellEnd"/>
      <w:r w:rsidRPr="00A87C83">
        <w:rPr>
          <w:rFonts w:ascii="Arial" w:hAnsi="Arial" w:cs="Arial"/>
          <w:sz w:val="20"/>
          <w:szCs w:val="20"/>
          <w:lang w:val="en-US"/>
        </w:rPr>
        <w:t xml:space="preserve">. </w:t>
      </w:r>
      <w:proofErr w:type="spellStart"/>
      <w:r w:rsidRPr="00A87C83">
        <w:rPr>
          <w:rFonts w:ascii="Arial" w:hAnsi="Arial" w:cs="Arial"/>
          <w:sz w:val="20"/>
          <w:szCs w:val="20"/>
          <w:lang w:val="en-US"/>
        </w:rPr>
        <w:t>Fert</w:t>
      </w:r>
      <w:proofErr w:type="spellEnd"/>
      <w:r w:rsidRPr="00A87C83">
        <w:rPr>
          <w:rFonts w:ascii="Arial" w:hAnsi="Arial" w:cs="Arial"/>
          <w:sz w:val="20"/>
          <w:szCs w:val="20"/>
          <w:lang w:val="en-US"/>
        </w:rPr>
        <w:t>. Dev. 5: 49-56.</w:t>
      </w:r>
    </w:p>
    <w:p w:rsidR="000675FF" w:rsidRPr="00A87C83" w:rsidRDefault="000675FF" w:rsidP="00A87C83">
      <w:pPr>
        <w:jc w:val="both"/>
        <w:rPr>
          <w:rFonts w:ascii="Arial" w:hAnsi="Arial" w:cs="Arial"/>
          <w:sz w:val="20"/>
          <w:szCs w:val="20"/>
          <w:lang w:val="en-US"/>
        </w:rPr>
      </w:pPr>
      <w:proofErr w:type="spellStart"/>
      <w:r w:rsidRPr="00A87C83">
        <w:rPr>
          <w:rFonts w:ascii="Arial" w:hAnsi="Arial" w:cs="Arial"/>
          <w:sz w:val="20"/>
          <w:szCs w:val="20"/>
          <w:lang w:val="en-US"/>
        </w:rPr>
        <w:t>Bilton</w:t>
      </w:r>
      <w:proofErr w:type="spellEnd"/>
      <w:r w:rsidRPr="00A87C83">
        <w:rPr>
          <w:rFonts w:ascii="Arial" w:hAnsi="Arial" w:cs="Arial"/>
          <w:sz w:val="20"/>
          <w:szCs w:val="20"/>
          <w:lang w:val="en-US"/>
        </w:rPr>
        <w:t xml:space="preserve">, </w:t>
      </w:r>
      <w:proofErr w:type="spellStart"/>
      <w:r w:rsidRPr="00A87C83">
        <w:rPr>
          <w:rFonts w:ascii="Arial" w:hAnsi="Arial" w:cs="Arial"/>
          <w:sz w:val="20"/>
          <w:szCs w:val="20"/>
          <w:lang w:val="en-US"/>
        </w:rPr>
        <w:t>R.j.</w:t>
      </w:r>
      <w:proofErr w:type="spellEnd"/>
      <w:r w:rsidRPr="00A87C83">
        <w:rPr>
          <w:rFonts w:ascii="Arial" w:hAnsi="Arial" w:cs="Arial"/>
          <w:sz w:val="20"/>
          <w:szCs w:val="20"/>
          <w:lang w:val="en-US"/>
        </w:rPr>
        <w:t xml:space="preserve">, Moore, N.W. 1976. In vitro culture, </w:t>
      </w:r>
      <w:proofErr w:type="spellStart"/>
      <w:r w:rsidRPr="00A87C83">
        <w:rPr>
          <w:rFonts w:ascii="Arial" w:hAnsi="Arial" w:cs="Arial"/>
          <w:sz w:val="20"/>
          <w:szCs w:val="20"/>
          <w:lang w:val="en-US"/>
        </w:rPr>
        <w:t>storange</w:t>
      </w:r>
      <w:proofErr w:type="spellEnd"/>
      <w:r w:rsidRPr="00A87C83">
        <w:rPr>
          <w:rFonts w:ascii="Arial" w:hAnsi="Arial" w:cs="Arial"/>
          <w:sz w:val="20"/>
          <w:szCs w:val="20"/>
          <w:lang w:val="en-US"/>
        </w:rPr>
        <w:t xml:space="preserve"> and transfer of </w:t>
      </w:r>
      <w:proofErr w:type="gramStart"/>
      <w:r w:rsidRPr="00A87C83">
        <w:rPr>
          <w:rFonts w:ascii="Arial" w:hAnsi="Arial" w:cs="Arial"/>
          <w:sz w:val="20"/>
          <w:szCs w:val="20"/>
          <w:lang w:val="en-US"/>
        </w:rPr>
        <w:t>goats</w:t>
      </w:r>
      <w:proofErr w:type="gramEnd"/>
      <w:r w:rsidRPr="00A87C83">
        <w:rPr>
          <w:rFonts w:ascii="Arial" w:hAnsi="Arial" w:cs="Arial"/>
          <w:sz w:val="20"/>
          <w:szCs w:val="20"/>
          <w:lang w:val="en-US"/>
        </w:rPr>
        <w:t xml:space="preserve"> embryos. Aust. J. Biol.Sci.29: 125-129.</w:t>
      </w:r>
    </w:p>
    <w:p w:rsidR="000675FF" w:rsidRPr="00A87C83" w:rsidRDefault="000675FF" w:rsidP="00A87C83">
      <w:pPr>
        <w:jc w:val="both"/>
        <w:rPr>
          <w:rFonts w:ascii="Arial" w:hAnsi="Arial" w:cs="Arial"/>
          <w:sz w:val="20"/>
          <w:szCs w:val="20"/>
          <w:lang w:val="en-US"/>
        </w:rPr>
      </w:pPr>
      <w:r w:rsidRPr="00A87C83">
        <w:rPr>
          <w:rFonts w:ascii="Arial" w:hAnsi="Arial" w:cs="Arial"/>
          <w:sz w:val="20"/>
          <w:szCs w:val="20"/>
          <w:lang w:val="en-US"/>
        </w:rPr>
        <w:lastRenderedPageBreak/>
        <w:t xml:space="preserve">Bister, J.L., B. Noel, B. </w:t>
      </w:r>
      <w:proofErr w:type="spellStart"/>
      <w:r w:rsidRPr="00A87C83">
        <w:rPr>
          <w:rFonts w:ascii="Arial" w:hAnsi="Arial" w:cs="Arial"/>
          <w:sz w:val="20"/>
          <w:szCs w:val="20"/>
          <w:lang w:val="en-US"/>
        </w:rPr>
        <w:t>Perrad</w:t>
      </w:r>
      <w:proofErr w:type="spellEnd"/>
      <w:r w:rsidRPr="00A87C83">
        <w:rPr>
          <w:rFonts w:ascii="Arial" w:hAnsi="Arial" w:cs="Arial"/>
          <w:sz w:val="20"/>
          <w:szCs w:val="20"/>
          <w:lang w:val="en-US"/>
        </w:rPr>
        <w:t xml:space="preserve">, S.N. </w:t>
      </w:r>
      <w:proofErr w:type="spellStart"/>
      <w:r w:rsidRPr="00A87C83">
        <w:rPr>
          <w:rFonts w:ascii="Arial" w:hAnsi="Arial" w:cs="Arial"/>
          <w:sz w:val="20"/>
          <w:szCs w:val="20"/>
          <w:lang w:val="en-US"/>
        </w:rPr>
        <w:t>Mandiki,J</w:t>
      </w:r>
      <w:proofErr w:type="spellEnd"/>
      <w:r w:rsidRPr="00A87C83">
        <w:rPr>
          <w:rFonts w:ascii="Arial" w:hAnsi="Arial" w:cs="Arial"/>
          <w:sz w:val="20"/>
          <w:szCs w:val="20"/>
          <w:lang w:val="en-US"/>
        </w:rPr>
        <w:t xml:space="preserve">. </w:t>
      </w:r>
      <w:proofErr w:type="spellStart"/>
      <w:r w:rsidRPr="00A87C83">
        <w:rPr>
          <w:rFonts w:ascii="Arial" w:hAnsi="Arial" w:cs="Arial"/>
          <w:sz w:val="20"/>
          <w:szCs w:val="20"/>
          <w:lang w:val="en-US"/>
        </w:rPr>
        <w:t>Mbayahaga,R.Paquay</w:t>
      </w:r>
      <w:proofErr w:type="spellEnd"/>
      <w:r w:rsidRPr="00A87C83">
        <w:rPr>
          <w:rFonts w:ascii="Arial" w:hAnsi="Arial" w:cs="Arial"/>
          <w:sz w:val="20"/>
          <w:szCs w:val="20"/>
          <w:lang w:val="en-US"/>
        </w:rPr>
        <w:t xml:space="preserve">. 1999. Control of ovarian follicles activity in the ewe. Dom. Anim. </w:t>
      </w:r>
      <w:proofErr w:type="spellStart"/>
      <w:r w:rsidRPr="00A87C83">
        <w:rPr>
          <w:rFonts w:ascii="Arial" w:hAnsi="Arial" w:cs="Arial"/>
          <w:sz w:val="20"/>
          <w:szCs w:val="20"/>
          <w:lang w:val="en-US"/>
        </w:rPr>
        <w:t>Endocr</w:t>
      </w:r>
      <w:proofErr w:type="spellEnd"/>
      <w:r w:rsidRPr="00A87C83">
        <w:rPr>
          <w:rFonts w:ascii="Arial" w:hAnsi="Arial" w:cs="Arial"/>
          <w:sz w:val="20"/>
          <w:szCs w:val="20"/>
          <w:lang w:val="en-US"/>
        </w:rPr>
        <w:t>. 17: 315-328.</w:t>
      </w:r>
    </w:p>
    <w:p w:rsidR="000675FF" w:rsidRPr="00A87C83" w:rsidRDefault="000675FF" w:rsidP="00A87C83">
      <w:pPr>
        <w:jc w:val="both"/>
        <w:rPr>
          <w:rFonts w:ascii="Arial" w:hAnsi="Arial" w:cs="Arial"/>
          <w:sz w:val="20"/>
          <w:szCs w:val="20"/>
          <w:lang w:val="en-US"/>
        </w:rPr>
      </w:pPr>
      <w:r w:rsidRPr="00A87C83">
        <w:rPr>
          <w:rFonts w:ascii="Arial" w:hAnsi="Arial" w:cs="Arial"/>
          <w:sz w:val="20"/>
          <w:szCs w:val="20"/>
          <w:lang w:val="en-US"/>
        </w:rPr>
        <w:t xml:space="preserve">Boland, M.P., T.F. Crosby, y I. Gordon. 1983. Factors influencing the </w:t>
      </w:r>
      <w:proofErr w:type="spellStart"/>
      <w:r w:rsidRPr="00A87C83">
        <w:rPr>
          <w:rFonts w:ascii="Arial" w:hAnsi="Arial" w:cs="Arial"/>
          <w:sz w:val="20"/>
          <w:szCs w:val="20"/>
          <w:lang w:val="en-US"/>
        </w:rPr>
        <w:t>superovulatory</w:t>
      </w:r>
      <w:proofErr w:type="spellEnd"/>
      <w:r w:rsidRPr="00A87C83">
        <w:rPr>
          <w:rFonts w:ascii="Arial" w:hAnsi="Arial" w:cs="Arial"/>
          <w:sz w:val="20"/>
          <w:szCs w:val="20"/>
          <w:lang w:val="en-US"/>
        </w:rPr>
        <w:t xml:space="preserve"> response in the sheep. </w:t>
      </w:r>
      <w:proofErr w:type="spellStart"/>
      <w:r w:rsidRPr="00A87C83">
        <w:rPr>
          <w:rFonts w:ascii="Arial" w:hAnsi="Arial" w:cs="Arial"/>
          <w:sz w:val="20"/>
          <w:szCs w:val="20"/>
          <w:lang w:val="en-US"/>
        </w:rPr>
        <w:t>Theriogenology</w:t>
      </w:r>
      <w:proofErr w:type="spellEnd"/>
      <w:r w:rsidRPr="00A87C83">
        <w:rPr>
          <w:rFonts w:ascii="Arial" w:hAnsi="Arial" w:cs="Arial"/>
          <w:sz w:val="20"/>
          <w:szCs w:val="20"/>
          <w:lang w:val="en-US"/>
        </w:rPr>
        <w:t>. 19: 144.</w:t>
      </w:r>
    </w:p>
    <w:p w:rsidR="000675FF" w:rsidRPr="00A87C83" w:rsidRDefault="000675FF" w:rsidP="00A87C83">
      <w:pPr>
        <w:jc w:val="both"/>
        <w:rPr>
          <w:rFonts w:ascii="Arial" w:hAnsi="Arial" w:cs="Arial"/>
          <w:sz w:val="20"/>
          <w:szCs w:val="20"/>
          <w:lang w:val="en-US"/>
        </w:rPr>
      </w:pPr>
      <w:proofErr w:type="spellStart"/>
      <w:r w:rsidRPr="00A87C83">
        <w:rPr>
          <w:rFonts w:ascii="Arial" w:hAnsi="Arial" w:cs="Arial"/>
          <w:sz w:val="20"/>
          <w:szCs w:val="20"/>
          <w:lang w:val="en-US"/>
        </w:rPr>
        <w:t>Brebion</w:t>
      </w:r>
      <w:proofErr w:type="spellEnd"/>
      <w:r w:rsidRPr="00A87C83">
        <w:rPr>
          <w:rFonts w:ascii="Arial" w:hAnsi="Arial" w:cs="Arial"/>
          <w:sz w:val="20"/>
          <w:szCs w:val="20"/>
          <w:lang w:val="en-US"/>
        </w:rPr>
        <w:t xml:space="preserve"> P, </w:t>
      </w:r>
      <w:proofErr w:type="spellStart"/>
      <w:r w:rsidRPr="00A87C83">
        <w:rPr>
          <w:rFonts w:ascii="Arial" w:hAnsi="Arial" w:cs="Arial"/>
          <w:sz w:val="20"/>
          <w:szCs w:val="20"/>
          <w:lang w:val="en-US"/>
        </w:rPr>
        <w:t>Baril</w:t>
      </w:r>
      <w:proofErr w:type="spellEnd"/>
      <w:r w:rsidRPr="00A87C83">
        <w:rPr>
          <w:rFonts w:ascii="Arial" w:hAnsi="Arial" w:cs="Arial"/>
          <w:sz w:val="20"/>
          <w:szCs w:val="20"/>
          <w:lang w:val="en-US"/>
        </w:rPr>
        <w:t xml:space="preserve"> G, </w:t>
      </w:r>
      <w:proofErr w:type="spellStart"/>
      <w:r w:rsidRPr="00A87C83">
        <w:rPr>
          <w:rFonts w:ascii="Arial" w:hAnsi="Arial" w:cs="Arial"/>
          <w:sz w:val="20"/>
          <w:szCs w:val="20"/>
          <w:lang w:val="en-US"/>
        </w:rPr>
        <w:t>Cognie</w:t>
      </w:r>
      <w:proofErr w:type="spellEnd"/>
      <w:r w:rsidRPr="00A87C83">
        <w:rPr>
          <w:rFonts w:ascii="Arial" w:hAnsi="Arial" w:cs="Arial"/>
          <w:sz w:val="20"/>
          <w:szCs w:val="20"/>
          <w:lang w:val="en-US"/>
        </w:rPr>
        <w:t xml:space="preserve"> Y, </w:t>
      </w:r>
      <w:proofErr w:type="spellStart"/>
      <w:r w:rsidRPr="00A87C83">
        <w:rPr>
          <w:rFonts w:ascii="Arial" w:hAnsi="Arial" w:cs="Arial"/>
          <w:sz w:val="20"/>
          <w:szCs w:val="20"/>
          <w:lang w:val="en-US"/>
        </w:rPr>
        <w:t>Vallet</w:t>
      </w:r>
      <w:proofErr w:type="spellEnd"/>
      <w:r w:rsidRPr="00A87C83">
        <w:rPr>
          <w:rFonts w:ascii="Arial" w:hAnsi="Arial" w:cs="Arial"/>
          <w:sz w:val="20"/>
          <w:szCs w:val="20"/>
          <w:lang w:val="en-US"/>
        </w:rPr>
        <w:t xml:space="preserve"> JM. 1992. </w:t>
      </w:r>
      <w:proofErr w:type="spellStart"/>
      <w:r w:rsidRPr="00A87C83">
        <w:rPr>
          <w:rFonts w:ascii="Arial" w:hAnsi="Arial" w:cs="Arial"/>
          <w:sz w:val="20"/>
          <w:szCs w:val="20"/>
          <w:lang w:val="en-US"/>
        </w:rPr>
        <w:t>Transfert</w:t>
      </w:r>
      <w:proofErr w:type="spellEnd"/>
      <w:r w:rsidRPr="00A87C83">
        <w:rPr>
          <w:rFonts w:ascii="Arial" w:hAnsi="Arial" w:cs="Arial"/>
          <w:sz w:val="20"/>
          <w:szCs w:val="20"/>
          <w:lang w:val="en-US"/>
        </w:rPr>
        <w:t xml:space="preserve"> </w:t>
      </w:r>
      <w:proofErr w:type="spellStart"/>
      <w:r w:rsidRPr="00A87C83">
        <w:rPr>
          <w:rFonts w:ascii="Arial" w:hAnsi="Arial" w:cs="Arial"/>
          <w:sz w:val="20"/>
          <w:szCs w:val="20"/>
          <w:lang w:val="en-US"/>
        </w:rPr>
        <w:t>d’embryons</w:t>
      </w:r>
      <w:proofErr w:type="spellEnd"/>
      <w:r w:rsidRPr="00A87C83">
        <w:rPr>
          <w:rFonts w:ascii="Arial" w:hAnsi="Arial" w:cs="Arial"/>
          <w:sz w:val="20"/>
          <w:szCs w:val="20"/>
          <w:lang w:val="en-US"/>
        </w:rPr>
        <w:t xml:space="preserve"> chez les </w:t>
      </w:r>
      <w:proofErr w:type="spellStart"/>
      <w:r w:rsidRPr="00A87C83">
        <w:rPr>
          <w:rFonts w:ascii="Arial" w:hAnsi="Arial" w:cs="Arial"/>
          <w:sz w:val="20"/>
          <w:szCs w:val="20"/>
          <w:lang w:val="en-US"/>
        </w:rPr>
        <w:t>ovins</w:t>
      </w:r>
      <w:proofErr w:type="spellEnd"/>
      <w:r w:rsidRPr="00A87C83">
        <w:rPr>
          <w:rFonts w:ascii="Arial" w:hAnsi="Arial" w:cs="Arial"/>
          <w:sz w:val="20"/>
          <w:szCs w:val="20"/>
          <w:lang w:val="en-US"/>
        </w:rPr>
        <w:t xml:space="preserve"> </w:t>
      </w:r>
      <w:proofErr w:type="gramStart"/>
      <w:r w:rsidRPr="00A87C83">
        <w:rPr>
          <w:rFonts w:ascii="Arial" w:hAnsi="Arial" w:cs="Arial"/>
          <w:sz w:val="20"/>
          <w:szCs w:val="20"/>
          <w:lang w:val="en-US"/>
        </w:rPr>
        <w:t>et</w:t>
      </w:r>
      <w:proofErr w:type="gramEnd"/>
      <w:r w:rsidRPr="00A87C83">
        <w:rPr>
          <w:rFonts w:ascii="Arial" w:hAnsi="Arial" w:cs="Arial"/>
          <w:sz w:val="20"/>
          <w:szCs w:val="20"/>
          <w:lang w:val="en-US"/>
        </w:rPr>
        <w:t xml:space="preserve"> les </w:t>
      </w:r>
      <w:proofErr w:type="spellStart"/>
      <w:r w:rsidRPr="00A87C83">
        <w:rPr>
          <w:rFonts w:ascii="Arial" w:hAnsi="Arial" w:cs="Arial"/>
          <w:sz w:val="20"/>
          <w:szCs w:val="20"/>
          <w:lang w:val="en-US"/>
        </w:rPr>
        <w:t>caprins</w:t>
      </w:r>
      <w:proofErr w:type="spellEnd"/>
      <w:r w:rsidRPr="00A87C83">
        <w:rPr>
          <w:rFonts w:ascii="Arial" w:hAnsi="Arial" w:cs="Arial"/>
          <w:sz w:val="20"/>
          <w:szCs w:val="20"/>
          <w:lang w:val="en-US"/>
        </w:rPr>
        <w:t xml:space="preserve">. Ann. </w:t>
      </w:r>
      <w:proofErr w:type="spellStart"/>
      <w:r w:rsidRPr="00A87C83">
        <w:rPr>
          <w:rFonts w:ascii="Arial" w:hAnsi="Arial" w:cs="Arial"/>
          <w:sz w:val="20"/>
          <w:szCs w:val="20"/>
          <w:lang w:val="en-US"/>
        </w:rPr>
        <w:t>Zootech</w:t>
      </w:r>
      <w:proofErr w:type="spellEnd"/>
      <w:r w:rsidRPr="00A87C83">
        <w:rPr>
          <w:rFonts w:ascii="Arial" w:hAnsi="Arial" w:cs="Arial"/>
          <w:sz w:val="20"/>
          <w:szCs w:val="20"/>
          <w:lang w:val="en-US"/>
        </w:rPr>
        <w:t>. 41: 331-339.</w:t>
      </w:r>
    </w:p>
    <w:p w:rsidR="000675FF" w:rsidRPr="00A87C83" w:rsidRDefault="000675FF" w:rsidP="00634087">
      <w:pPr>
        <w:pStyle w:val="NormalWeb"/>
        <w:jc w:val="both"/>
        <w:rPr>
          <w:rFonts w:ascii="Arial" w:hAnsi="Arial" w:cs="Arial"/>
          <w:sz w:val="20"/>
          <w:szCs w:val="20"/>
        </w:rPr>
      </w:pPr>
    </w:p>
    <w:sectPr w:rsidR="000675FF" w:rsidRPr="00A87C83" w:rsidSect="00550322">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E1B" w:rsidRDefault="005A7E1B" w:rsidP="005A7E1B">
      <w:pPr>
        <w:spacing w:after="0" w:line="240" w:lineRule="auto"/>
      </w:pPr>
      <w:r>
        <w:separator/>
      </w:r>
    </w:p>
  </w:endnote>
  <w:endnote w:type="continuationSeparator" w:id="0">
    <w:p w:rsidR="005A7E1B" w:rsidRDefault="005A7E1B" w:rsidP="005A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1B" w:rsidRDefault="005A7E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1B" w:rsidRDefault="005A7E1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1B" w:rsidRDefault="005A7E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E1B" w:rsidRDefault="005A7E1B" w:rsidP="005A7E1B">
      <w:pPr>
        <w:spacing w:after="0" w:line="240" w:lineRule="auto"/>
      </w:pPr>
      <w:r>
        <w:separator/>
      </w:r>
    </w:p>
  </w:footnote>
  <w:footnote w:type="continuationSeparator" w:id="0">
    <w:p w:rsidR="005A7E1B" w:rsidRDefault="005A7E1B" w:rsidP="005A7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1B" w:rsidRDefault="005A7E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1B" w:rsidRDefault="005A7E1B">
    <w:pPr>
      <w:pStyle w:val="Encabezado"/>
    </w:pPr>
    <w:r w:rsidRPr="00546DE4">
      <w:rPr>
        <w:noProof/>
        <w:lang w:val="es-MX" w:eastAsia="es-MX"/>
      </w:rPr>
      <w:drawing>
        <wp:inline distT="0" distB="0" distL="0" distR="0">
          <wp:extent cx="5612130" cy="1151481"/>
          <wp:effectExtent l="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51481"/>
                  </a:xfrm>
                  <a:prstGeom prst="rect">
                    <a:avLst/>
                  </a:prstGeom>
                  <a:noFill/>
                  <a:ln>
                    <a:noFill/>
                  </a:ln>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1B" w:rsidRDefault="005A7E1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C0F"/>
    <w:rsid w:val="000675FF"/>
    <w:rsid w:val="00067B16"/>
    <w:rsid w:val="001752AE"/>
    <w:rsid w:val="002D06B7"/>
    <w:rsid w:val="003C0FB7"/>
    <w:rsid w:val="00550322"/>
    <w:rsid w:val="005A7E1B"/>
    <w:rsid w:val="00634087"/>
    <w:rsid w:val="006402AC"/>
    <w:rsid w:val="00721D3A"/>
    <w:rsid w:val="007A1C0F"/>
    <w:rsid w:val="00891151"/>
    <w:rsid w:val="008A719D"/>
    <w:rsid w:val="00A43CB7"/>
    <w:rsid w:val="00A87C83"/>
    <w:rsid w:val="00C85466"/>
    <w:rsid w:val="00CD24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C34951-D93D-4DF4-8EE1-E72B00405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D2487"/>
    <w:pPr>
      <w:spacing w:before="180" w:after="180" w:line="240" w:lineRule="auto"/>
    </w:pPr>
    <w:rPr>
      <w:rFonts w:ascii="Times New Roman" w:eastAsia="Times New Roman" w:hAnsi="Times New Roman" w:cs="Times New Roman"/>
      <w:sz w:val="24"/>
      <w:szCs w:val="24"/>
    </w:rPr>
  </w:style>
  <w:style w:type="paragraph" w:customStyle="1" w:styleId="ecxmsonormal">
    <w:name w:val="ecxmsonormal"/>
    <w:basedOn w:val="Normal"/>
    <w:rsid w:val="000675F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nhideWhenUsed/>
    <w:rsid w:val="00A87C83"/>
    <w:rPr>
      <w:color w:val="0000FF" w:themeColor="hyperlink"/>
      <w:u w:val="single"/>
    </w:rPr>
  </w:style>
  <w:style w:type="paragraph" w:styleId="Encabezado">
    <w:name w:val="header"/>
    <w:basedOn w:val="Normal"/>
    <w:link w:val="EncabezadoCar"/>
    <w:uiPriority w:val="99"/>
    <w:unhideWhenUsed/>
    <w:rsid w:val="005A7E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7E1B"/>
  </w:style>
  <w:style w:type="paragraph" w:styleId="Piedepgina">
    <w:name w:val="footer"/>
    <w:basedOn w:val="Normal"/>
    <w:link w:val="PiedepginaCar"/>
    <w:uiPriority w:val="99"/>
    <w:unhideWhenUsed/>
    <w:rsid w:val="005A7E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7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348796">
      <w:bodyDiv w:val="1"/>
      <w:marLeft w:val="0"/>
      <w:marRight w:val="0"/>
      <w:marTop w:val="0"/>
      <w:marBottom w:val="0"/>
      <w:divBdr>
        <w:top w:val="none" w:sz="0" w:space="0" w:color="auto"/>
        <w:left w:val="none" w:sz="0" w:space="0" w:color="auto"/>
        <w:bottom w:val="none" w:sz="0" w:space="0" w:color="auto"/>
        <w:right w:val="none" w:sz="0" w:space="0" w:color="auto"/>
      </w:divBdr>
      <w:divsChild>
        <w:div w:id="888415529">
          <w:marLeft w:val="0"/>
          <w:marRight w:val="0"/>
          <w:marTop w:val="0"/>
          <w:marBottom w:val="0"/>
          <w:divBdr>
            <w:top w:val="none" w:sz="0" w:space="0" w:color="auto"/>
            <w:left w:val="none" w:sz="0" w:space="0" w:color="auto"/>
            <w:bottom w:val="none" w:sz="0" w:space="0" w:color="auto"/>
            <w:right w:val="none" w:sz="0" w:space="0" w:color="auto"/>
          </w:divBdr>
          <w:divsChild>
            <w:div w:id="1755978919">
              <w:marLeft w:val="0"/>
              <w:marRight w:val="0"/>
              <w:marTop w:val="4050"/>
              <w:marBottom w:val="0"/>
              <w:divBdr>
                <w:top w:val="none" w:sz="0" w:space="0" w:color="auto"/>
                <w:left w:val="none" w:sz="0" w:space="0" w:color="auto"/>
                <w:bottom w:val="none" w:sz="0" w:space="0" w:color="auto"/>
                <w:right w:val="none" w:sz="0" w:space="0" w:color="auto"/>
              </w:divBdr>
              <w:divsChild>
                <w:div w:id="1988392157">
                  <w:marLeft w:val="0"/>
                  <w:marRight w:val="0"/>
                  <w:marTop w:val="300"/>
                  <w:marBottom w:val="0"/>
                  <w:divBdr>
                    <w:top w:val="none" w:sz="0" w:space="0" w:color="auto"/>
                    <w:left w:val="none" w:sz="0" w:space="0" w:color="auto"/>
                    <w:bottom w:val="none" w:sz="0" w:space="0" w:color="auto"/>
                    <w:right w:val="none" w:sz="0" w:space="0" w:color="auto"/>
                  </w:divBdr>
                  <w:divsChild>
                    <w:div w:id="1189686972">
                      <w:marLeft w:val="0"/>
                      <w:marRight w:val="0"/>
                      <w:marTop w:val="0"/>
                      <w:marBottom w:val="0"/>
                      <w:divBdr>
                        <w:top w:val="none" w:sz="0" w:space="0" w:color="auto"/>
                        <w:left w:val="none" w:sz="0" w:space="0" w:color="auto"/>
                        <w:bottom w:val="none" w:sz="0" w:space="0" w:color="auto"/>
                        <w:right w:val="single" w:sz="6" w:space="7" w:color="CCCCCC"/>
                      </w:divBdr>
                      <w:divsChild>
                        <w:div w:id="1926186721">
                          <w:marLeft w:val="0"/>
                          <w:marRight w:val="0"/>
                          <w:marTop w:val="0"/>
                          <w:marBottom w:val="0"/>
                          <w:divBdr>
                            <w:top w:val="none" w:sz="0" w:space="0" w:color="auto"/>
                            <w:left w:val="none" w:sz="0" w:space="0" w:color="auto"/>
                            <w:bottom w:val="none" w:sz="0" w:space="0" w:color="auto"/>
                            <w:right w:val="none" w:sz="0" w:space="0" w:color="auto"/>
                          </w:divBdr>
                          <w:divsChild>
                            <w:div w:id="2076465528">
                              <w:marLeft w:val="0"/>
                              <w:marRight w:val="0"/>
                              <w:marTop w:val="225"/>
                              <w:marBottom w:val="0"/>
                              <w:divBdr>
                                <w:top w:val="none" w:sz="0" w:space="0" w:color="auto"/>
                                <w:left w:val="none" w:sz="0" w:space="0" w:color="auto"/>
                                <w:bottom w:val="none" w:sz="0" w:space="0" w:color="auto"/>
                                <w:right w:val="none" w:sz="0" w:space="0" w:color="auto"/>
                              </w:divBdr>
                              <w:divsChild>
                                <w:div w:id="1718435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r.rlucio@hotmai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Pages>
  <Words>2222</Words>
  <Characters>12224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FMVZ</dc:creator>
  <cp:lastModifiedBy>efrain gutierrez chavez</cp:lastModifiedBy>
  <cp:revision>10</cp:revision>
  <dcterms:created xsi:type="dcterms:W3CDTF">2015-02-05T05:00:00Z</dcterms:created>
  <dcterms:modified xsi:type="dcterms:W3CDTF">2015-04-29T15:14:00Z</dcterms:modified>
</cp:coreProperties>
</file>