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7E" w:rsidRPr="00042A0E" w:rsidRDefault="0059267E" w:rsidP="00042A0E">
      <w:pPr>
        <w:jc w:val="center"/>
        <w:rPr>
          <w:rFonts w:ascii="Arial" w:hAnsi="Arial" w:cs="Arial"/>
          <w:b/>
          <w:sz w:val="20"/>
          <w:szCs w:val="20"/>
        </w:rPr>
      </w:pPr>
      <w:r w:rsidRPr="00042A0E">
        <w:rPr>
          <w:rFonts w:ascii="Arial" w:hAnsi="Arial" w:cs="Arial"/>
          <w:b/>
          <w:sz w:val="20"/>
          <w:szCs w:val="20"/>
        </w:rPr>
        <w:t>PRODUCCIÓN, COMERCIO EXTERIOR Y CONSUMO DE PRODUCTOS PECUARIOS EN MÉXICO (1980-2000).</w:t>
      </w:r>
    </w:p>
    <w:p w:rsidR="0059267E" w:rsidRPr="00042A0E" w:rsidRDefault="0059267E" w:rsidP="00042A0E">
      <w:pPr>
        <w:jc w:val="both"/>
      </w:pPr>
    </w:p>
    <w:p w:rsidR="007B2A0A" w:rsidRPr="00042A0E" w:rsidRDefault="007B2A0A" w:rsidP="00042A0E">
      <w:pPr>
        <w:jc w:val="center"/>
        <w:rPr>
          <w:rFonts w:ascii="Arial" w:hAnsi="Arial" w:cs="Arial"/>
          <w:sz w:val="20"/>
          <w:szCs w:val="20"/>
          <w:vertAlign w:val="superscript"/>
        </w:rPr>
      </w:pPr>
      <w:r w:rsidRPr="00042A0E">
        <w:rPr>
          <w:rFonts w:ascii="Arial" w:hAnsi="Arial" w:cs="Arial"/>
          <w:sz w:val="20"/>
          <w:szCs w:val="20"/>
        </w:rPr>
        <w:t>Lucio Domínguez, R.</w:t>
      </w:r>
      <w:r w:rsidRPr="00042A0E">
        <w:rPr>
          <w:rFonts w:ascii="Arial" w:hAnsi="Arial" w:cs="Arial"/>
          <w:sz w:val="20"/>
          <w:szCs w:val="20"/>
          <w:vertAlign w:val="superscript"/>
        </w:rPr>
        <w:t>1</w:t>
      </w:r>
      <w:r w:rsidRPr="00042A0E">
        <w:rPr>
          <w:rFonts w:ascii="Arial" w:hAnsi="Arial" w:cs="Arial"/>
          <w:sz w:val="20"/>
          <w:szCs w:val="20"/>
        </w:rPr>
        <w:t xml:space="preserve">; </w:t>
      </w:r>
      <w:proofErr w:type="spellStart"/>
      <w:r w:rsidRPr="00042A0E">
        <w:rPr>
          <w:rFonts w:ascii="Arial" w:hAnsi="Arial" w:cs="Arial"/>
          <w:sz w:val="20"/>
          <w:szCs w:val="20"/>
        </w:rPr>
        <w:t>Sesento</w:t>
      </w:r>
      <w:proofErr w:type="spellEnd"/>
      <w:r w:rsidRPr="00042A0E">
        <w:rPr>
          <w:rFonts w:ascii="Arial" w:hAnsi="Arial" w:cs="Arial"/>
          <w:sz w:val="20"/>
          <w:szCs w:val="20"/>
        </w:rPr>
        <w:t xml:space="preserve"> García L.</w:t>
      </w:r>
      <w:r w:rsidRPr="00042A0E">
        <w:rPr>
          <w:rFonts w:ascii="Arial" w:hAnsi="Arial" w:cs="Arial"/>
          <w:sz w:val="20"/>
          <w:szCs w:val="20"/>
          <w:vertAlign w:val="superscript"/>
        </w:rPr>
        <w:t>2</w:t>
      </w:r>
      <w:r w:rsidRPr="00042A0E">
        <w:rPr>
          <w:rFonts w:ascii="Arial" w:hAnsi="Arial" w:cs="Arial"/>
          <w:sz w:val="20"/>
          <w:szCs w:val="20"/>
        </w:rPr>
        <w:t>;</w:t>
      </w:r>
      <w:r w:rsidRPr="00042A0E">
        <w:rPr>
          <w:rFonts w:ascii="Arial" w:hAnsi="Arial" w:cs="Arial"/>
          <w:sz w:val="20"/>
          <w:szCs w:val="20"/>
        </w:rPr>
        <w:t xml:space="preserve"> </w:t>
      </w:r>
      <w:r w:rsidRPr="00042A0E">
        <w:rPr>
          <w:rFonts w:ascii="Arial" w:hAnsi="Arial" w:cs="Arial"/>
          <w:sz w:val="20"/>
          <w:szCs w:val="20"/>
        </w:rPr>
        <w:t>Pérez Luna O.</w:t>
      </w:r>
      <w:r w:rsidRPr="00042A0E">
        <w:rPr>
          <w:rFonts w:ascii="Arial" w:hAnsi="Arial" w:cs="Arial"/>
          <w:sz w:val="20"/>
          <w:szCs w:val="20"/>
          <w:vertAlign w:val="superscript"/>
        </w:rPr>
        <w:t>1</w:t>
      </w:r>
      <w:r w:rsidRPr="00042A0E">
        <w:rPr>
          <w:rFonts w:ascii="Arial" w:hAnsi="Arial" w:cs="Arial"/>
          <w:sz w:val="20"/>
          <w:szCs w:val="20"/>
        </w:rPr>
        <w:t>; Bedolla Cedeño J. L. C.</w:t>
      </w:r>
      <w:r w:rsidRPr="00042A0E">
        <w:rPr>
          <w:rFonts w:ascii="Arial" w:hAnsi="Arial" w:cs="Arial"/>
          <w:sz w:val="20"/>
          <w:szCs w:val="20"/>
          <w:vertAlign w:val="superscript"/>
        </w:rPr>
        <w:t>1</w:t>
      </w:r>
      <w:r w:rsidRPr="00042A0E">
        <w:rPr>
          <w:rFonts w:ascii="Arial" w:hAnsi="Arial" w:cs="Arial"/>
          <w:sz w:val="20"/>
          <w:szCs w:val="20"/>
        </w:rPr>
        <w:t>;  Sánchez Parra V.M.</w:t>
      </w:r>
      <w:r w:rsidRPr="00042A0E">
        <w:rPr>
          <w:rFonts w:ascii="Arial" w:hAnsi="Arial" w:cs="Arial"/>
          <w:sz w:val="20"/>
          <w:szCs w:val="20"/>
          <w:vertAlign w:val="superscript"/>
        </w:rPr>
        <w:t>1</w:t>
      </w:r>
      <w:r w:rsidRPr="00042A0E">
        <w:rPr>
          <w:rFonts w:ascii="Arial" w:hAnsi="Arial" w:cs="Arial"/>
          <w:sz w:val="20"/>
          <w:szCs w:val="20"/>
        </w:rPr>
        <w:t>; Herrera Camacho J.</w:t>
      </w:r>
      <w:r w:rsidRPr="00042A0E">
        <w:rPr>
          <w:rFonts w:ascii="Arial" w:hAnsi="Arial" w:cs="Arial"/>
          <w:sz w:val="20"/>
          <w:szCs w:val="20"/>
          <w:vertAlign w:val="superscript"/>
        </w:rPr>
        <w:t>3</w:t>
      </w:r>
      <w:r w:rsidRPr="00042A0E">
        <w:rPr>
          <w:rFonts w:ascii="Arial" w:hAnsi="Arial" w:cs="Arial"/>
          <w:sz w:val="20"/>
          <w:szCs w:val="20"/>
        </w:rPr>
        <w:t>; Cruz Hernández A. R.</w:t>
      </w:r>
      <w:r w:rsidRPr="00042A0E">
        <w:rPr>
          <w:rFonts w:ascii="Arial" w:hAnsi="Arial" w:cs="Arial"/>
          <w:sz w:val="20"/>
          <w:szCs w:val="20"/>
          <w:vertAlign w:val="superscript"/>
        </w:rPr>
        <w:t>1</w:t>
      </w:r>
    </w:p>
    <w:p w:rsidR="007B2A0A" w:rsidRPr="00042A0E" w:rsidRDefault="007B2A0A" w:rsidP="00042A0E">
      <w:pPr>
        <w:jc w:val="both"/>
        <w:rPr>
          <w:i/>
          <w:vertAlign w:val="superscript"/>
        </w:rPr>
      </w:pPr>
    </w:p>
    <w:p w:rsidR="007B2A0A" w:rsidRPr="00042A0E" w:rsidRDefault="007B2A0A" w:rsidP="00042A0E">
      <w:pPr>
        <w:jc w:val="center"/>
        <w:rPr>
          <w:rFonts w:ascii="Arial" w:hAnsi="Arial" w:cs="Arial"/>
          <w:i/>
          <w:sz w:val="20"/>
          <w:szCs w:val="20"/>
        </w:rPr>
      </w:pPr>
      <w:r w:rsidRPr="00042A0E">
        <w:rPr>
          <w:rFonts w:ascii="Arial" w:hAnsi="Arial" w:cs="Arial"/>
          <w:i/>
          <w:sz w:val="20"/>
          <w:szCs w:val="20"/>
          <w:vertAlign w:val="superscript"/>
        </w:rPr>
        <w:t>1</w:t>
      </w:r>
      <w:r w:rsidRPr="00042A0E">
        <w:rPr>
          <w:rFonts w:ascii="Arial" w:hAnsi="Arial" w:cs="Arial"/>
          <w:i/>
          <w:sz w:val="20"/>
          <w:szCs w:val="20"/>
        </w:rPr>
        <w:t xml:space="preserve"> Facultad de Medicina Veterinaria y Zootecnia de la Universidad Michoacana de San Nicolás de Hidalgo. </w:t>
      </w:r>
      <w:r w:rsidRPr="00042A0E">
        <w:rPr>
          <w:rFonts w:ascii="Arial" w:hAnsi="Arial" w:cs="Arial"/>
          <w:i/>
          <w:sz w:val="20"/>
          <w:szCs w:val="20"/>
          <w:vertAlign w:val="superscript"/>
        </w:rPr>
        <w:t xml:space="preserve">2  </w:t>
      </w:r>
      <w:r w:rsidRPr="00042A0E">
        <w:rPr>
          <w:rFonts w:ascii="Arial" w:hAnsi="Arial" w:cs="Arial"/>
          <w:i/>
          <w:sz w:val="20"/>
          <w:szCs w:val="20"/>
        </w:rPr>
        <w:t>Colegio Primitivo y Nacional de San Nicolás de Hidalgo.</w:t>
      </w:r>
      <w:r w:rsidRPr="00042A0E">
        <w:rPr>
          <w:rFonts w:ascii="Arial" w:hAnsi="Arial" w:cs="Arial"/>
          <w:i/>
          <w:sz w:val="20"/>
          <w:szCs w:val="20"/>
          <w:vertAlign w:val="superscript"/>
        </w:rPr>
        <w:t xml:space="preserve">3 </w:t>
      </w:r>
      <w:r w:rsidRPr="00042A0E">
        <w:rPr>
          <w:rFonts w:ascii="Arial" w:hAnsi="Arial" w:cs="Arial"/>
          <w:i/>
          <w:sz w:val="20"/>
          <w:szCs w:val="20"/>
        </w:rPr>
        <w:t>Instituto de Investigaciones Agropecuarias y Forestales.</w:t>
      </w:r>
    </w:p>
    <w:p w:rsidR="007B2A0A" w:rsidRPr="00042A0E" w:rsidRDefault="007B2A0A" w:rsidP="00042A0E">
      <w:pPr>
        <w:jc w:val="center"/>
        <w:rPr>
          <w:rFonts w:ascii="Arial" w:hAnsi="Arial" w:cs="Arial"/>
          <w:color w:val="4F81BD"/>
          <w:sz w:val="20"/>
          <w:szCs w:val="20"/>
        </w:rPr>
      </w:pPr>
      <w:r w:rsidRPr="00042A0E">
        <w:rPr>
          <w:rFonts w:ascii="Arial" w:hAnsi="Arial" w:cs="Arial"/>
          <w:sz w:val="20"/>
          <w:szCs w:val="20"/>
        </w:rPr>
        <w:t xml:space="preserve">E-mail: </w:t>
      </w:r>
      <w:hyperlink r:id="rId8" w:history="1">
        <w:r w:rsidRPr="00042A0E">
          <w:rPr>
            <w:rStyle w:val="Hipervnculo"/>
            <w:rFonts w:ascii="Arial" w:hAnsi="Arial" w:cs="Arial"/>
            <w:b/>
            <w:sz w:val="20"/>
            <w:szCs w:val="20"/>
          </w:rPr>
          <w:t>dr.rlucio@hotmail.com</w:t>
        </w:r>
      </w:hyperlink>
    </w:p>
    <w:p w:rsidR="000C501E" w:rsidRPr="00042A0E" w:rsidRDefault="0059267E" w:rsidP="00042A0E">
      <w:pPr>
        <w:jc w:val="both"/>
        <w:rPr>
          <w:rFonts w:ascii="Arial" w:hAnsi="Arial" w:cs="Arial"/>
          <w:b/>
          <w:sz w:val="20"/>
          <w:szCs w:val="20"/>
        </w:rPr>
      </w:pPr>
      <w:r w:rsidRPr="00042A0E">
        <w:rPr>
          <w:rFonts w:ascii="Arial" w:hAnsi="Arial" w:cs="Arial"/>
          <w:b/>
          <w:sz w:val="20"/>
          <w:szCs w:val="20"/>
        </w:rPr>
        <w:t>RESUMEN</w:t>
      </w:r>
    </w:p>
    <w:p w:rsidR="0059267E" w:rsidRPr="00042A0E" w:rsidRDefault="00EF12CD" w:rsidP="00042A0E">
      <w:pPr>
        <w:jc w:val="both"/>
        <w:rPr>
          <w:rFonts w:ascii="Arial" w:hAnsi="Arial" w:cs="Arial"/>
          <w:sz w:val="20"/>
          <w:szCs w:val="20"/>
        </w:rPr>
      </w:pPr>
      <w:r w:rsidRPr="00042A0E">
        <w:rPr>
          <w:rFonts w:ascii="Arial" w:hAnsi="Arial" w:cs="Arial"/>
          <w:sz w:val="20"/>
          <w:szCs w:val="20"/>
        </w:rPr>
        <w:t xml:space="preserve">El presente documento tiene como objetivo presentar un panorama general de la industria de alimentos procesados en México y a nivel mundial, el cual sirva como herramienta para la toma de decisiones en la búsqueda de oportunidades de exportación e inversión. El trabajo incluye un diagnóstico de la industria a nivel global, descripción y tendencias, análisis de los indicadores de consumo, producción, exportación e inversión, situación de la industria en México y marco regulatorio principalmente. Además, se realizó un análisis detallado de la industria nacional en temas de oportunidades de negocio, empresas mexicanas exitosas, tamaño de mercado, cámaras y asociaciones, programas de fomento y normatividad. Lo anterior para demostrar que el sector de alimentos procesados en México es altamente productivo y especializado, por lo tanto representa una oportunidad para atraer inversión extranjera directa y aumentar la presencia de productos mexicanos en el exterior </w:t>
      </w:r>
      <w:r w:rsidR="0059267E" w:rsidRPr="00042A0E">
        <w:rPr>
          <w:rFonts w:ascii="Arial" w:hAnsi="Arial" w:cs="Arial"/>
          <w:sz w:val="20"/>
          <w:szCs w:val="20"/>
        </w:rPr>
        <w:t>En consecuencia se deben impulsar acciones conjuntas entre productores, gobierno e instituciones de educación superior afines a las actividades agropecuarias para implementar paquetes tecnológicos médico-zootécnicos y económico-administrativos que aumenten la productividad de las unidades productivas, para elevar la competitividad, generar empleo e ingreso y disminuir los indicadores de pobreza en la población del ámbito rural.</w:t>
      </w:r>
    </w:p>
    <w:p w:rsidR="00042A0E" w:rsidRPr="00042A0E" w:rsidRDefault="00042A0E" w:rsidP="00042A0E">
      <w:pPr>
        <w:pStyle w:val="NormalWeb"/>
        <w:jc w:val="both"/>
        <w:rPr>
          <w:rFonts w:ascii="Arial" w:hAnsi="Arial" w:cs="Arial"/>
          <w:sz w:val="20"/>
          <w:szCs w:val="20"/>
        </w:rPr>
      </w:pPr>
      <w:r w:rsidRPr="00042A0E">
        <w:rPr>
          <w:rFonts w:ascii="Arial" w:hAnsi="Arial" w:cs="Arial"/>
          <w:sz w:val="20"/>
          <w:szCs w:val="20"/>
        </w:rPr>
        <w:t xml:space="preserve">Palabras clave: Consumo, </w:t>
      </w:r>
      <w:r w:rsidR="008A5F6F" w:rsidRPr="00042A0E">
        <w:rPr>
          <w:rFonts w:ascii="Arial" w:hAnsi="Arial" w:cs="Arial"/>
          <w:sz w:val="20"/>
          <w:szCs w:val="20"/>
        </w:rPr>
        <w:t>producción</w:t>
      </w:r>
      <w:r w:rsidRPr="00042A0E">
        <w:rPr>
          <w:rFonts w:ascii="Arial" w:hAnsi="Arial" w:cs="Arial"/>
          <w:sz w:val="20"/>
          <w:szCs w:val="20"/>
        </w:rPr>
        <w:t>, carne, leche</w:t>
      </w:r>
      <w:r w:rsidR="00F75863">
        <w:rPr>
          <w:rFonts w:ascii="Arial" w:hAnsi="Arial" w:cs="Arial"/>
          <w:sz w:val="20"/>
          <w:szCs w:val="20"/>
        </w:rPr>
        <w:t>, comercio exterior</w:t>
      </w:r>
      <w:bookmarkStart w:id="0" w:name="_GoBack"/>
      <w:bookmarkEnd w:id="0"/>
      <w:r w:rsidRPr="00042A0E">
        <w:rPr>
          <w:rFonts w:ascii="Arial" w:hAnsi="Arial" w:cs="Arial"/>
          <w:sz w:val="20"/>
          <w:szCs w:val="20"/>
        </w:rPr>
        <w:t>.</w:t>
      </w:r>
    </w:p>
    <w:p w:rsidR="0059267E" w:rsidRPr="00042A0E" w:rsidRDefault="0059267E" w:rsidP="00042A0E">
      <w:pPr>
        <w:jc w:val="both"/>
        <w:rPr>
          <w:rFonts w:ascii="Arial" w:hAnsi="Arial" w:cs="Arial"/>
          <w:sz w:val="20"/>
          <w:szCs w:val="20"/>
        </w:rPr>
      </w:pPr>
    </w:p>
    <w:p w:rsidR="000C501E" w:rsidRDefault="000C501E" w:rsidP="00042A0E">
      <w:pPr>
        <w:jc w:val="both"/>
        <w:rPr>
          <w:rFonts w:ascii="Arial" w:hAnsi="Arial" w:cs="Arial"/>
          <w:sz w:val="20"/>
          <w:szCs w:val="20"/>
        </w:rPr>
      </w:pPr>
    </w:p>
    <w:p w:rsidR="00042A0E" w:rsidRDefault="00042A0E" w:rsidP="00042A0E">
      <w:pPr>
        <w:jc w:val="both"/>
        <w:rPr>
          <w:rFonts w:ascii="Arial" w:hAnsi="Arial" w:cs="Arial"/>
          <w:sz w:val="20"/>
          <w:szCs w:val="20"/>
        </w:rPr>
      </w:pPr>
    </w:p>
    <w:p w:rsidR="00042A0E" w:rsidRDefault="00042A0E" w:rsidP="00042A0E">
      <w:pPr>
        <w:jc w:val="both"/>
        <w:rPr>
          <w:rFonts w:ascii="Arial" w:hAnsi="Arial" w:cs="Arial"/>
          <w:sz w:val="20"/>
          <w:szCs w:val="20"/>
        </w:rPr>
      </w:pPr>
    </w:p>
    <w:p w:rsidR="00042A0E" w:rsidRDefault="00042A0E" w:rsidP="00042A0E">
      <w:pPr>
        <w:jc w:val="both"/>
        <w:rPr>
          <w:rFonts w:ascii="Arial" w:hAnsi="Arial" w:cs="Arial"/>
          <w:sz w:val="20"/>
          <w:szCs w:val="20"/>
        </w:rPr>
      </w:pPr>
    </w:p>
    <w:p w:rsidR="00042A0E" w:rsidRDefault="00042A0E" w:rsidP="00042A0E">
      <w:pPr>
        <w:jc w:val="both"/>
        <w:rPr>
          <w:rFonts w:ascii="Arial" w:hAnsi="Arial" w:cs="Arial"/>
          <w:sz w:val="20"/>
          <w:szCs w:val="20"/>
        </w:rPr>
      </w:pPr>
    </w:p>
    <w:p w:rsidR="00042A0E" w:rsidRDefault="00042A0E" w:rsidP="00042A0E">
      <w:pPr>
        <w:jc w:val="both"/>
        <w:rPr>
          <w:rFonts w:ascii="Arial" w:hAnsi="Arial" w:cs="Arial"/>
          <w:sz w:val="20"/>
          <w:szCs w:val="20"/>
        </w:rPr>
      </w:pPr>
    </w:p>
    <w:p w:rsidR="00042A0E" w:rsidRPr="00042A0E" w:rsidRDefault="00042A0E" w:rsidP="00042A0E">
      <w:pPr>
        <w:jc w:val="both"/>
        <w:rPr>
          <w:rFonts w:ascii="Arial" w:hAnsi="Arial" w:cs="Arial"/>
          <w:sz w:val="20"/>
          <w:szCs w:val="20"/>
        </w:rPr>
      </w:pPr>
    </w:p>
    <w:p w:rsidR="0059267E" w:rsidRPr="00042A0E" w:rsidRDefault="008A5F6F" w:rsidP="00042A0E">
      <w:pPr>
        <w:jc w:val="both"/>
        <w:rPr>
          <w:rFonts w:ascii="Arial" w:hAnsi="Arial" w:cs="Arial"/>
          <w:b/>
          <w:sz w:val="20"/>
          <w:szCs w:val="20"/>
        </w:rPr>
      </w:pPr>
      <w:r w:rsidRPr="00042A0E">
        <w:rPr>
          <w:rFonts w:ascii="Arial" w:hAnsi="Arial" w:cs="Arial"/>
          <w:b/>
          <w:sz w:val="20"/>
          <w:szCs w:val="20"/>
        </w:rPr>
        <w:lastRenderedPageBreak/>
        <w:t>INTRODUCCIÓN.</w:t>
      </w:r>
    </w:p>
    <w:p w:rsidR="0059267E" w:rsidRPr="00042A0E" w:rsidRDefault="0059267E" w:rsidP="00042A0E">
      <w:pPr>
        <w:jc w:val="both"/>
        <w:rPr>
          <w:rFonts w:ascii="Arial" w:hAnsi="Arial" w:cs="Arial"/>
          <w:sz w:val="20"/>
          <w:szCs w:val="20"/>
        </w:rPr>
      </w:pPr>
      <w:r w:rsidRPr="00042A0E">
        <w:rPr>
          <w:rFonts w:ascii="Arial" w:hAnsi="Arial" w:cs="Arial"/>
          <w:sz w:val="20"/>
          <w:szCs w:val="20"/>
        </w:rPr>
        <w:t>La cría y explotación de bovinos, porcinos, aves, ovinos y caprinos para la producción de carne, la explotación de bovinos para la producción de leche, la explotación de aves para la producción de huevo, la acuicultura, apicultura, explotación de équidos, cunicultura y explotación de animales con pelaje fino, así como la explotación de otros animales constituyen actividades importantes de la economía mexicana.</w:t>
      </w:r>
    </w:p>
    <w:p w:rsidR="0059267E" w:rsidRPr="00042A0E" w:rsidRDefault="0059267E" w:rsidP="00042A0E">
      <w:pPr>
        <w:jc w:val="both"/>
        <w:rPr>
          <w:rFonts w:ascii="Arial" w:hAnsi="Arial" w:cs="Arial"/>
          <w:sz w:val="20"/>
          <w:szCs w:val="20"/>
        </w:rPr>
      </w:pPr>
      <w:r w:rsidRPr="00042A0E">
        <w:rPr>
          <w:rFonts w:ascii="Arial" w:hAnsi="Arial" w:cs="Arial"/>
          <w:sz w:val="20"/>
          <w:szCs w:val="20"/>
        </w:rPr>
        <w:t>Según el Plan Nacional de Desarrollo 2013-2018 del Gobierno de la República Mexicana: “La ganadería tiene un alto potencial que no se ha aprovechado a cabalidad, debido a la descapitalización de sus unidad productivas”</w:t>
      </w:r>
      <w:r w:rsidRPr="00042A0E">
        <w:rPr>
          <w:rStyle w:val="Refdenotaalpie"/>
          <w:rFonts w:ascii="Arial" w:hAnsi="Arial" w:cs="Arial"/>
          <w:sz w:val="20"/>
          <w:szCs w:val="20"/>
        </w:rPr>
        <w:footnoteReference w:id="1"/>
      </w:r>
      <w:r w:rsidRPr="00042A0E">
        <w:rPr>
          <w:rFonts w:ascii="Arial" w:hAnsi="Arial" w:cs="Arial"/>
          <w:sz w:val="20"/>
          <w:szCs w:val="20"/>
        </w:rPr>
        <w:t>.</w:t>
      </w:r>
    </w:p>
    <w:p w:rsidR="0059267E" w:rsidRPr="00042A0E" w:rsidRDefault="0059267E" w:rsidP="00042A0E">
      <w:pPr>
        <w:jc w:val="both"/>
        <w:rPr>
          <w:rFonts w:ascii="Arial" w:hAnsi="Arial" w:cs="Arial"/>
          <w:sz w:val="20"/>
          <w:szCs w:val="20"/>
        </w:rPr>
      </w:pPr>
      <w:r w:rsidRPr="00042A0E">
        <w:rPr>
          <w:rFonts w:ascii="Arial" w:hAnsi="Arial" w:cs="Arial"/>
          <w:sz w:val="20"/>
          <w:szCs w:val="20"/>
        </w:rPr>
        <w:t>El alcance del presente artículo consiste en analizar de manera específica una de las múltiples actividades económicas ya mencionadas anteriormente, concretamente se analizará la producción, comercio exterior y consumo en México de la carne en canal de bovinos del periodo comprendido del año de 1980 al 2000, periodo de 20 años, en donde se podrá apreciar con claridad, la evolución económica de estas variables.</w:t>
      </w:r>
    </w:p>
    <w:p w:rsidR="0059267E" w:rsidRPr="00042A0E" w:rsidRDefault="0059267E" w:rsidP="00042A0E">
      <w:pPr>
        <w:jc w:val="both"/>
        <w:rPr>
          <w:rFonts w:ascii="Arial" w:hAnsi="Arial" w:cs="Arial"/>
          <w:sz w:val="20"/>
          <w:szCs w:val="20"/>
        </w:rPr>
      </w:pPr>
      <w:r w:rsidRPr="00042A0E">
        <w:rPr>
          <w:rFonts w:ascii="Arial" w:hAnsi="Arial" w:cs="Arial"/>
          <w:sz w:val="20"/>
          <w:szCs w:val="20"/>
        </w:rPr>
        <w:t>La importancia de este artículo radica en analizar las implicaciones socioeconómicas que conlleva esta evolución económica en el sentido de la generación de empleo e ingreso en productores y trabajadores ligados a esta actividad económica del sector pecuario del país.</w:t>
      </w:r>
    </w:p>
    <w:p w:rsidR="0059267E" w:rsidRPr="00042A0E" w:rsidRDefault="0059267E" w:rsidP="00042A0E">
      <w:pPr>
        <w:jc w:val="both"/>
        <w:rPr>
          <w:rFonts w:ascii="Arial" w:hAnsi="Arial" w:cs="Arial"/>
          <w:sz w:val="20"/>
          <w:szCs w:val="20"/>
        </w:rPr>
      </w:pPr>
      <w:r w:rsidRPr="00042A0E">
        <w:rPr>
          <w:rFonts w:ascii="Arial" w:hAnsi="Arial" w:cs="Arial"/>
          <w:sz w:val="20"/>
          <w:szCs w:val="20"/>
        </w:rPr>
        <w:t>Además de delinear causantes estructurales que expliquen el porqué de esta evolución de los indicadores económicos, así como de igual manera delinear alternativas para su desarrollo e implementación.</w:t>
      </w:r>
    </w:p>
    <w:p w:rsidR="0059267E" w:rsidRPr="00042A0E" w:rsidRDefault="008A5F6F" w:rsidP="00042A0E">
      <w:pPr>
        <w:jc w:val="both"/>
        <w:rPr>
          <w:rFonts w:ascii="Arial" w:hAnsi="Arial" w:cs="Arial"/>
          <w:b/>
          <w:sz w:val="20"/>
          <w:szCs w:val="20"/>
        </w:rPr>
      </w:pPr>
      <w:r w:rsidRPr="00042A0E">
        <w:rPr>
          <w:rFonts w:ascii="Arial" w:hAnsi="Arial" w:cs="Arial"/>
          <w:b/>
          <w:sz w:val="20"/>
          <w:szCs w:val="20"/>
        </w:rPr>
        <w:t>DESARROLLO DEL TEMA.</w:t>
      </w:r>
    </w:p>
    <w:p w:rsidR="0059267E" w:rsidRPr="00042A0E" w:rsidRDefault="0059267E" w:rsidP="00042A0E">
      <w:pPr>
        <w:jc w:val="both"/>
        <w:rPr>
          <w:rFonts w:ascii="Arial" w:hAnsi="Arial" w:cs="Arial"/>
          <w:sz w:val="20"/>
          <w:szCs w:val="20"/>
        </w:rPr>
      </w:pPr>
      <w:r w:rsidRPr="00042A0E">
        <w:rPr>
          <w:rFonts w:ascii="Arial" w:hAnsi="Arial" w:cs="Arial"/>
          <w:sz w:val="20"/>
          <w:szCs w:val="20"/>
        </w:rPr>
        <w:t>Según información de la Secretaría de Agricultura, Ganadería, Desarrollo Rural, Pesca y Alimentación con datos del Instituto Nacional de Estadística, Geografía e Informática, la producción de carne en canal de bovino del año 1980 al 2000 creció en un 32 % debido a que ésta pasó de 1,065,070 toneladas a 1,449,717 toneladas en el periodo de tiempo mencionado. Además, las exportaciones de esta industria en el mismo periodo aumentaron en un 374 %, exportando 26,090 toneladas en 1980 y llegando a las 123,611 toneladas en el año 2000. No obstante lo anterior, en el tema de las importaciones, éstas incrementaron en un 29,112 %, importando 1,157 toneladas en 1980 y alcanzando las 337,986 toneladas en el año 2000. De esta manera, el consumo nacional aparente</w:t>
      </w:r>
      <w:r w:rsidRPr="00042A0E">
        <w:rPr>
          <w:rStyle w:val="Refdenotaalpie"/>
          <w:rFonts w:ascii="Arial" w:hAnsi="Arial" w:cs="Arial"/>
          <w:sz w:val="20"/>
          <w:szCs w:val="20"/>
        </w:rPr>
        <w:footnoteReference w:id="2"/>
      </w:r>
      <w:r w:rsidRPr="00042A0E">
        <w:rPr>
          <w:rFonts w:ascii="Arial" w:hAnsi="Arial" w:cs="Arial"/>
          <w:sz w:val="20"/>
          <w:szCs w:val="20"/>
        </w:rPr>
        <w:t>, en el periodo de tiempo en cuestión, aumentó en un 56 %, pasando de 1, 040,137 toneladas en 1980 a 1, 622,993 toneladas en el año 2000. Por último y en rubro del consumo per cápita, éste tuvo un incremento del 5 %, pasando de un valor de 15.5 en el año de 1980 a 16.3 en el año 2000 (Ver Tabla 1).</w:t>
      </w:r>
    </w:p>
    <w:p w:rsidR="0059267E" w:rsidRPr="00042A0E" w:rsidRDefault="0059267E" w:rsidP="00042A0E">
      <w:pPr>
        <w:jc w:val="both"/>
        <w:rPr>
          <w:rFonts w:ascii="Arial" w:hAnsi="Arial" w:cs="Arial"/>
          <w:sz w:val="20"/>
          <w:szCs w:val="20"/>
        </w:rPr>
      </w:pPr>
    </w:p>
    <w:p w:rsidR="0059267E" w:rsidRDefault="0059267E" w:rsidP="00042A0E">
      <w:pPr>
        <w:jc w:val="both"/>
        <w:rPr>
          <w:rFonts w:ascii="Arial" w:hAnsi="Arial" w:cs="Arial"/>
          <w:sz w:val="20"/>
          <w:szCs w:val="20"/>
        </w:rPr>
      </w:pPr>
    </w:p>
    <w:p w:rsidR="008A5F6F" w:rsidRDefault="008A5F6F" w:rsidP="00042A0E">
      <w:pPr>
        <w:jc w:val="both"/>
        <w:rPr>
          <w:rFonts w:ascii="Arial" w:hAnsi="Arial" w:cs="Arial"/>
          <w:sz w:val="20"/>
          <w:szCs w:val="20"/>
        </w:rPr>
      </w:pPr>
    </w:p>
    <w:p w:rsidR="008A5F6F" w:rsidRDefault="008A5F6F" w:rsidP="00042A0E">
      <w:pPr>
        <w:jc w:val="both"/>
        <w:rPr>
          <w:rFonts w:ascii="Arial" w:hAnsi="Arial" w:cs="Arial"/>
          <w:sz w:val="20"/>
          <w:szCs w:val="20"/>
        </w:rPr>
      </w:pPr>
    </w:p>
    <w:p w:rsidR="008A5F6F" w:rsidRPr="00042A0E" w:rsidRDefault="008A5F6F" w:rsidP="00042A0E">
      <w:pPr>
        <w:jc w:val="both"/>
        <w:rPr>
          <w:rFonts w:ascii="Arial" w:hAnsi="Arial" w:cs="Arial"/>
          <w:sz w:val="20"/>
          <w:szCs w:val="20"/>
        </w:rPr>
      </w:pPr>
    </w:p>
    <w:p w:rsidR="0059267E" w:rsidRPr="00042A0E" w:rsidRDefault="0059267E" w:rsidP="00042A0E">
      <w:pPr>
        <w:jc w:val="both"/>
        <w:rPr>
          <w:rFonts w:ascii="Arial" w:hAnsi="Arial" w:cs="Arial"/>
          <w:sz w:val="20"/>
          <w:szCs w:val="20"/>
        </w:rPr>
      </w:pPr>
      <w:r w:rsidRPr="00042A0E">
        <w:rPr>
          <w:rFonts w:ascii="Arial" w:hAnsi="Arial" w:cs="Arial"/>
          <w:sz w:val="20"/>
          <w:szCs w:val="20"/>
        </w:rPr>
        <w:t>Tabla 1.</w:t>
      </w:r>
    </w:p>
    <w:p w:rsidR="0059267E" w:rsidRPr="00042A0E" w:rsidRDefault="0059267E" w:rsidP="00042A0E">
      <w:pPr>
        <w:jc w:val="both"/>
        <w:rPr>
          <w:rFonts w:ascii="Arial" w:hAnsi="Arial" w:cs="Arial"/>
          <w:sz w:val="20"/>
          <w:szCs w:val="20"/>
          <w:vertAlign w:val="superscript"/>
        </w:rPr>
      </w:pPr>
      <w:r w:rsidRPr="00042A0E">
        <w:rPr>
          <w:rFonts w:ascii="Arial" w:hAnsi="Arial" w:cs="Arial"/>
          <w:sz w:val="20"/>
          <w:szCs w:val="20"/>
        </w:rPr>
        <w:t>Producción, comercio exterior y consumo de productos pecuarios: carne en canal bovino (toneladas)</w:t>
      </w:r>
      <w:r w:rsidRPr="00042A0E">
        <w:rPr>
          <w:rFonts w:ascii="Arial" w:hAnsi="Arial" w:cs="Arial"/>
          <w:sz w:val="20"/>
          <w:szCs w:val="20"/>
          <w:vertAlign w:val="superscript"/>
        </w:rPr>
        <w:t>1/</w:t>
      </w:r>
    </w:p>
    <w:tbl>
      <w:tblPr>
        <w:tblStyle w:val="Tablaconcuadrcula"/>
        <w:tblW w:w="5000" w:type="pct"/>
        <w:tblLayout w:type="fixed"/>
        <w:tblLook w:val="04A0" w:firstRow="1" w:lastRow="0" w:firstColumn="1" w:lastColumn="0" w:noHBand="0" w:noVBand="1"/>
      </w:tblPr>
      <w:tblGrid>
        <w:gridCol w:w="672"/>
        <w:gridCol w:w="1137"/>
        <w:gridCol w:w="661"/>
        <w:gridCol w:w="822"/>
        <w:gridCol w:w="824"/>
        <w:gridCol w:w="822"/>
        <w:gridCol w:w="824"/>
        <w:gridCol w:w="1009"/>
        <w:gridCol w:w="637"/>
        <w:gridCol w:w="922"/>
        <w:gridCol w:w="724"/>
      </w:tblGrid>
      <w:tr w:rsidR="0059267E" w:rsidRPr="00042A0E" w:rsidTr="005A320B">
        <w:trPr>
          <w:trHeight w:val="900"/>
        </w:trPr>
        <w:tc>
          <w:tcPr>
            <w:tcW w:w="371"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Año</w:t>
            </w:r>
          </w:p>
        </w:tc>
        <w:tc>
          <w:tcPr>
            <w:tcW w:w="628"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Producción</w:t>
            </w:r>
          </w:p>
        </w:tc>
        <w:tc>
          <w:tcPr>
            <w:tcW w:w="365"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c>
          <w:tcPr>
            <w:tcW w:w="454" w:type="pct"/>
            <w:vAlign w:val="center"/>
            <w:hideMark/>
          </w:tcPr>
          <w:p w:rsidR="0059267E" w:rsidRPr="00042A0E" w:rsidRDefault="0059267E" w:rsidP="00042A0E">
            <w:pPr>
              <w:jc w:val="both"/>
              <w:rPr>
                <w:rFonts w:ascii="Arial" w:eastAsia="Times New Roman" w:hAnsi="Arial" w:cs="Arial"/>
                <w:bCs/>
                <w:color w:val="000000"/>
                <w:sz w:val="20"/>
                <w:szCs w:val="20"/>
                <w:vertAlign w:val="superscript"/>
                <w:lang w:eastAsia="es-MX"/>
              </w:rPr>
            </w:pPr>
            <w:r w:rsidRPr="00042A0E">
              <w:rPr>
                <w:rFonts w:ascii="Arial" w:eastAsia="Times New Roman" w:hAnsi="Arial" w:cs="Arial"/>
                <w:bCs/>
                <w:color w:val="000000"/>
                <w:sz w:val="20"/>
                <w:szCs w:val="20"/>
                <w:lang w:eastAsia="es-MX"/>
              </w:rPr>
              <w:t>Importación</w:t>
            </w:r>
            <w:r w:rsidRPr="00042A0E">
              <w:rPr>
                <w:rFonts w:ascii="Arial" w:eastAsia="Times New Roman" w:hAnsi="Arial" w:cs="Arial"/>
                <w:bCs/>
                <w:color w:val="000000"/>
                <w:sz w:val="20"/>
                <w:szCs w:val="20"/>
                <w:vertAlign w:val="superscript"/>
                <w:lang w:eastAsia="es-MX"/>
              </w:rPr>
              <w:t>3/</w:t>
            </w:r>
          </w:p>
        </w:tc>
        <w:tc>
          <w:tcPr>
            <w:tcW w:w="455"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c>
          <w:tcPr>
            <w:tcW w:w="454" w:type="pct"/>
            <w:vAlign w:val="center"/>
            <w:hideMark/>
          </w:tcPr>
          <w:p w:rsidR="0059267E" w:rsidRPr="00042A0E" w:rsidRDefault="0059267E" w:rsidP="00042A0E">
            <w:pPr>
              <w:jc w:val="both"/>
              <w:rPr>
                <w:rFonts w:ascii="Arial" w:eastAsia="Times New Roman" w:hAnsi="Arial" w:cs="Arial"/>
                <w:bCs/>
                <w:color w:val="000000"/>
                <w:sz w:val="20"/>
                <w:szCs w:val="20"/>
                <w:vertAlign w:val="superscript"/>
                <w:lang w:eastAsia="es-MX"/>
              </w:rPr>
            </w:pPr>
            <w:r w:rsidRPr="00042A0E">
              <w:rPr>
                <w:rFonts w:ascii="Arial" w:eastAsia="Times New Roman" w:hAnsi="Arial" w:cs="Arial"/>
                <w:bCs/>
                <w:color w:val="000000"/>
                <w:sz w:val="20"/>
                <w:szCs w:val="20"/>
                <w:lang w:eastAsia="es-MX"/>
              </w:rPr>
              <w:t>Exportación</w:t>
            </w:r>
            <w:r w:rsidRPr="00042A0E">
              <w:rPr>
                <w:rFonts w:ascii="Arial" w:eastAsia="Times New Roman" w:hAnsi="Arial" w:cs="Arial"/>
                <w:bCs/>
                <w:color w:val="000000"/>
                <w:sz w:val="20"/>
                <w:szCs w:val="20"/>
                <w:vertAlign w:val="superscript"/>
                <w:lang w:eastAsia="es-MX"/>
              </w:rPr>
              <w:t>3/</w:t>
            </w:r>
          </w:p>
        </w:tc>
        <w:tc>
          <w:tcPr>
            <w:tcW w:w="455"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c>
          <w:tcPr>
            <w:tcW w:w="557"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Consumo</w:t>
            </w:r>
          </w:p>
        </w:tc>
        <w:tc>
          <w:tcPr>
            <w:tcW w:w="352"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c>
          <w:tcPr>
            <w:tcW w:w="509"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Consumo per cápita (kg)</w:t>
            </w:r>
          </w:p>
        </w:tc>
        <w:tc>
          <w:tcPr>
            <w:tcW w:w="400" w:type="pct"/>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bCs/>
                <w:color w:val="000000"/>
                <w:sz w:val="20"/>
                <w:szCs w:val="20"/>
                <w:vertAlign w:val="superscript"/>
                <w:lang w:eastAsia="es-MX"/>
              </w:rPr>
            </w:pPr>
            <w:r w:rsidRPr="00042A0E">
              <w:rPr>
                <w:rFonts w:ascii="Arial" w:eastAsia="Times New Roman" w:hAnsi="Arial" w:cs="Arial"/>
                <w:bCs/>
                <w:color w:val="000000"/>
                <w:sz w:val="20"/>
                <w:szCs w:val="20"/>
                <w:lang w:eastAsia="es-MX"/>
              </w:rPr>
              <w:t>Crecimiento</w:t>
            </w:r>
            <w:r w:rsidRPr="00042A0E">
              <w:rPr>
                <w:rFonts w:ascii="Arial" w:eastAsia="Times New Roman" w:hAnsi="Arial" w:cs="Arial"/>
                <w:bCs/>
                <w:color w:val="000000"/>
                <w:sz w:val="20"/>
                <w:szCs w:val="20"/>
                <w:vertAlign w:val="superscript"/>
                <w:lang w:eastAsia="es-MX"/>
              </w:rPr>
              <w:t>4/</w:t>
            </w:r>
          </w:p>
        </w:tc>
        <w:tc>
          <w:tcPr>
            <w:tcW w:w="628"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1.32</w:t>
            </w:r>
          </w:p>
        </w:tc>
        <w:tc>
          <w:tcPr>
            <w:tcW w:w="365"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32%</w:t>
            </w:r>
          </w:p>
        </w:tc>
        <w:tc>
          <w:tcPr>
            <w:tcW w:w="454"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292.12</w:t>
            </w:r>
          </w:p>
        </w:tc>
        <w:tc>
          <w:tcPr>
            <w:tcW w:w="455"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29,112%</w:t>
            </w:r>
          </w:p>
        </w:tc>
        <w:tc>
          <w:tcPr>
            <w:tcW w:w="454"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4.74</w:t>
            </w:r>
          </w:p>
        </w:tc>
        <w:tc>
          <w:tcPr>
            <w:tcW w:w="455"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374%</w:t>
            </w:r>
          </w:p>
        </w:tc>
        <w:tc>
          <w:tcPr>
            <w:tcW w:w="557"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1.56</w:t>
            </w:r>
          </w:p>
        </w:tc>
        <w:tc>
          <w:tcPr>
            <w:tcW w:w="352"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56%</w:t>
            </w:r>
          </w:p>
        </w:tc>
        <w:tc>
          <w:tcPr>
            <w:tcW w:w="509"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1.05</w:t>
            </w:r>
          </w:p>
        </w:tc>
        <w:tc>
          <w:tcPr>
            <w:tcW w:w="400" w:type="pct"/>
            <w:noWrap/>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5%</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1980</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1,065,070</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1,157</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26,090</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1,040,137</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15.5</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1985</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979,574</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-8.0%</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10,513</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808.6%</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60,151</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130.6%</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929,936</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-10.6%</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-20.6%</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1990</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1,113,919</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13.7%</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50,819</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383.4%</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134,424</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123.5%</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1,030,314</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10.8%</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0.0%</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1991</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1,188,687</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6.7%</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163,073</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220.9%</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123,727</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-8.0%</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1,228,033</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19.2%</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14.4</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17.1%</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1992</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1,247,195</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4.9%</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196,754</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20.7%</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104,341</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-15.7%</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1,339,608</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9.1%</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15.4</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6.9%</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1993</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1,256,478</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0.7%</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103,385</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-47.5%</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129,624</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24.2%</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1,230,239</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-8.2%</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13.9</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-9.7%</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1994</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1,364,711</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8.6%</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140,203</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35.6%</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104,701</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-19.2%</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1,400,213</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13.8%</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15.5</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11.5%</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1995</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1,412,336</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3.5%</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41,784</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-70.2%</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166,988</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59.5%</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1,287,132</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-8.1%</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14.0</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-9.7%</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1996</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1,329,947</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-5.8%</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110,402</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164.2%</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47,366</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-71.6%</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1,392,983</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8.2%</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14.9</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6.4%</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1997</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1,340,071</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0.8%</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197,558</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78.9%</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66,835</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41.1%</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1,470,794</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5.6%</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15.5</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4.0%</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1998</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1,379,768</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3.0%</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262,996</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33.1%</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72,089</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7.9%</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1,570,675</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6.8%</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16.3</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5.2%</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1999</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1,399,629</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287,769</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9.4%</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104,505</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45.0%</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1,582,893</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0.8%</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16.1</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w:t>
            </w:r>
          </w:p>
        </w:tc>
      </w:tr>
      <w:tr w:rsidR="0059267E" w:rsidRPr="00042A0E" w:rsidTr="005A320B">
        <w:trPr>
          <w:trHeight w:val="300"/>
        </w:trPr>
        <w:tc>
          <w:tcPr>
            <w:tcW w:w="371"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2000</w:t>
            </w:r>
          </w:p>
        </w:tc>
        <w:tc>
          <w:tcPr>
            <w:tcW w:w="628"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1,408,618</w:t>
            </w:r>
          </w:p>
        </w:tc>
        <w:tc>
          <w:tcPr>
            <w:tcW w:w="36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0.6%</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337,986</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17.5%</w:t>
            </w:r>
          </w:p>
        </w:tc>
        <w:tc>
          <w:tcPr>
            <w:tcW w:w="454"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123,611</w:t>
            </w:r>
          </w:p>
        </w:tc>
        <w:tc>
          <w:tcPr>
            <w:tcW w:w="455"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18.3%</w:t>
            </w:r>
          </w:p>
        </w:tc>
        <w:tc>
          <w:tcPr>
            <w:tcW w:w="557"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1,622,993</w:t>
            </w:r>
          </w:p>
        </w:tc>
        <w:tc>
          <w:tcPr>
            <w:tcW w:w="352"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2.5%</w:t>
            </w:r>
          </w:p>
        </w:tc>
        <w:tc>
          <w:tcPr>
            <w:tcW w:w="509"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16.3</w:t>
            </w:r>
          </w:p>
        </w:tc>
        <w:tc>
          <w:tcPr>
            <w:tcW w:w="400" w:type="pct"/>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w:t>
            </w:r>
          </w:p>
        </w:tc>
      </w:tr>
    </w:tbl>
    <w:p w:rsidR="0059267E" w:rsidRPr="00042A0E" w:rsidRDefault="0059267E" w:rsidP="00042A0E">
      <w:pPr>
        <w:jc w:val="both"/>
        <w:rPr>
          <w:rFonts w:ascii="Arial" w:hAnsi="Arial" w:cs="Arial"/>
          <w:sz w:val="20"/>
          <w:szCs w:val="20"/>
        </w:rPr>
      </w:pPr>
      <w:r w:rsidRPr="00042A0E">
        <w:rPr>
          <w:rFonts w:ascii="Arial" w:hAnsi="Arial" w:cs="Arial"/>
          <w:sz w:val="20"/>
          <w:szCs w:val="20"/>
        </w:rPr>
        <w:t>1/ Los consumos per cápita se calcularon con base en las proyecciones del CONAPO. Para 1980 y 1985, la información se obtuvo del Anuario de Comercio Exterior.</w:t>
      </w:r>
    </w:p>
    <w:p w:rsidR="0059267E" w:rsidRPr="00042A0E" w:rsidRDefault="0059267E" w:rsidP="00042A0E">
      <w:pPr>
        <w:jc w:val="both"/>
        <w:rPr>
          <w:rFonts w:ascii="Arial" w:hAnsi="Arial" w:cs="Arial"/>
          <w:sz w:val="20"/>
          <w:szCs w:val="20"/>
        </w:rPr>
      </w:pPr>
      <w:r w:rsidRPr="00042A0E">
        <w:rPr>
          <w:rFonts w:ascii="Arial" w:hAnsi="Arial" w:cs="Arial"/>
          <w:sz w:val="20"/>
          <w:szCs w:val="20"/>
        </w:rPr>
        <w:t>2/ Variación porcentual respecto al periodo inmediato anterior.</w:t>
      </w:r>
    </w:p>
    <w:p w:rsidR="0059267E" w:rsidRPr="00042A0E" w:rsidRDefault="0059267E" w:rsidP="00042A0E">
      <w:pPr>
        <w:jc w:val="both"/>
        <w:rPr>
          <w:rFonts w:ascii="Arial" w:hAnsi="Arial" w:cs="Arial"/>
          <w:sz w:val="20"/>
          <w:szCs w:val="20"/>
        </w:rPr>
      </w:pPr>
      <w:r w:rsidRPr="00042A0E">
        <w:rPr>
          <w:rFonts w:ascii="Arial" w:hAnsi="Arial" w:cs="Arial"/>
          <w:sz w:val="20"/>
          <w:szCs w:val="20"/>
        </w:rPr>
        <w:t>3/ Incluye carne fresca y congelada, en canales o medias canales, los demás cortes y deshuesada, así como el equivalente en carne en canal de los animales para abasto y para abasto previa engorda.</w:t>
      </w:r>
    </w:p>
    <w:p w:rsidR="0059267E" w:rsidRPr="00042A0E" w:rsidRDefault="0059267E" w:rsidP="00042A0E">
      <w:pPr>
        <w:jc w:val="both"/>
        <w:rPr>
          <w:rFonts w:ascii="Arial" w:hAnsi="Arial" w:cs="Arial"/>
          <w:sz w:val="20"/>
          <w:szCs w:val="20"/>
        </w:rPr>
      </w:pPr>
      <w:r w:rsidRPr="00042A0E">
        <w:rPr>
          <w:rFonts w:ascii="Arial" w:hAnsi="Arial" w:cs="Arial"/>
          <w:sz w:val="20"/>
          <w:szCs w:val="20"/>
        </w:rPr>
        <w:t>4/ Valor final (año 2000) menos valor inicial (año 1980) entre valor inicial (año 1980) por 100%.</w:t>
      </w:r>
    </w:p>
    <w:p w:rsidR="0059267E" w:rsidRPr="00042A0E" w:rsidRDefault="0059267E" w:rsidP="00042A0E">
      <w:pPr>
        <w:jc w:val="both"/>
        <w:rPr>
          <w:rFonts w:ascii="Arial" w:hAnsi="Arial" w:cs="Arial"/>
          <w:sz w:val="20"/>
          <w:szCs w:val="20"/>
        </w:rPr>
      </w:pPr>
      <w:r w:rsidRPr="00042A0E">
        <w:rPr>
          <w:rFonts w:ascii="Arial" w:hAnsi="Arial" w:cs="Arial"/>
          <w:sz w:val="20"/>
          <w:szCs w:val="20"/>
        </w:rPr>
        <w:lastRenderedPageBreak/>
        <w:t>Derivado del análisis de la información estadística anteriormente expuesta, se puede observar que la producción se rezagó respecto al consumo. Efectivamente, en la década de los ochentas, la producción superaba el consumo, sin embargo de 1990 a 1995 se empataron prácticamente estas variables, y posterior al año 1995 se amplió la brecha del consumo respecto a la producción (Ver Gráfico 1).</w:t>
      </w:r>
    </w:p>
    <w:p w:rsidR="0059267E" w:rsidRPr="00042A0E" w:rsidRDefault="0059267E" w:rsidP="00042A0E">
      <w:pPr>
        <w:jc w:val="both"/>
        <w:rPr>
          <w:rFonts w:ascii="Arial" w:hAnsi="Arial" w:cs="Arial"/>
          <w:sz w:val="20"/>
          <w:szCs w:val="20"/>
        </w:rPr>
      </w:pPr>
      <w:r w:rsidRPr="00042A0E">
        <w:rPr>
          <w:rFonts w:ascii="Arial" w:hAnsi="Arial" w:cs="Arial"/>
          <w:noProof/>
          <w:sz w:val="20"/>
          <w:szCs w:val="20"/>
          <w:lang w:val="es-ES" w:eastAsia="es-ES"/>
        </w:rPr>
        <w:drawing>
          <wp:inline distT="0" distB="0" distL="0" distR="0" wp14:anchorId="7D3706F4" wp14:editId="4312A79E">
            <wp:extent cx="5337544" cy="2743200"/>
            <wp:effectExtent l="0" t="0" r="15875" b="1905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267E" w:rsidRPr="00042A0E" w:rsidRDefault="0059267E" w:rsidP="00042A0E">
      <w:pPr>
        <w:jc w:val="both"/>
        <w:rPr>
          <w:rFonts w:ascii="Arial" w:hAnsi="Arial" w:cs="Arial"/>
          <w:sz w:val="20"/>
          <w:szCs w:val="20"/>
        </w:rPr>
      </w:pPr>
      <w:r w:rsidRPr="00042A0E">
        <w:rPr>
          <w:rFonts w:ascii="Arial" w:hAnsi="Arial" w:cs="Arial"/>
          <w:sz w:val="20"/>
          <w:szCs w:val="20"/>
        </w:rPr>
        <w:t>En el aspecto de las exportaciones e importaciones, puede observarse que del año 1980 a 1990 las exportaciones superaban a las importaciones de este producto pecuario, no obstante en el primer quinquenio de la década de los noventas prácticamente se empataron estos valores y para el segundo quinquenio de ésta década las importaciones superaron ampliamente a las exportaciones (Ver Gráfico 2).</w:t>
      </w:r>
    </w:p>
    <w:p w:rsidR="0059267E" w:rsidRPr="00042A0E" w:rsidRDefault="0059267E" w:rsidP="00042A0E">
      <w:pPr>
        <w:jc w:val="both"/>
        <w:rPr>
          <w:rFonts w:ascii="Arial" w:hAnsi="Arial" w:cs="Arial"/>
          <w:sz w:val="20"/>
          <w:szCs w:val="20"/>
        </w:rPr>
      </w:pPr>
      <w:r w:rsidRPr="00042A0E">
        <w:rPr>
          <w:rFonts w:ascii="Arial" w:hAnsi="Arial" w:cs="Arial"/>
          <w:noProof/>
          <w:sz w:val="20"/>
          <w:szCs w:val="20"/>
          <w:lang w:val="es-ES" w:eastAsia="es-ES"/>
        </w:rPr>
        <w:drawing>
          <wp:inline distT="0" distB="0" distL="0" distR="0" wp14:anchorId="3DB51E4F" wp14:editId="6858823B">
            <wp:extent cx="5358810" cy="2743200"/>
            <wp:effectExtent l="0" t="0" r="13335"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267E" w:rsidRPr="00042A0E" w:rsidRDefault="0059267E" w:rsidP="00042A0E">
      <w:pPr>
        <w:jc w:val="both"/>
        <w:rPr>
          <w:rFonts w:ascii="Arial" w:hAnsi="Arial" w:cs="Arial"/>
          <w:sz w:val="20"/>
          <w:szCs w:val="20"/>
        </w:rPr>
      </w:pPr>
    </w:p>
    <w:p w:rsidR="0059267E" w:rsidRPr="00042A0E" w:rsidRDefault="0059267E" w:rsidP="00042A0E">
      <w:pPr>
        <w:jc w:val="both"/>
        <w:rPr>
          <w:rFonts w:ascii="Arial" w:hAnsi="Arial" w:cs="Arial"/>
          <w:sz w:val="20"/>
          <w:szCs w:val="20"/>
        </w:rPr>
      </w:pPr>
      <w:r w:rsidRPr="00042A0E">
        <w:rPr>
          <w:rFonts w:ascii="Arial" w:hAnsi="Arial" w:cs="Arial"/>
          <w:sz w:val="20"/>
          <w:szCs w:val="20"/>
        </w:rPr>
        <w:lastRenderedPageBreak/>
        <w:t>Lo anterior ha tenido un importante impacto en el país, pues la balanza comercial de carne en canal de bovino</w:t>
      </w:r>
      <w:r w:rsidRPr="00042A0E">
        <w:rPr>
          <w:rStyle w:val="Refdenotaalpie"/>
          <w:rFonts w:ascii="Arial" w:hAnsi="Arial" w:cs="Arial"/>
          <w:sz w:val="20"/>
          <w:szCs w:val="20"/>
        </w:rPr>
        <w:footnoteReference w:id="3"/>
      </w:r>
      <w:r w:rsidRPr="00042A0E">
        <w:rPr>
          <w:rFonts w:ascii="Arial" w:hAnsi="Arial" w:cs="Arial"/>
          <w:sz w:val="20"/>
          <w:szCs w:val="20"/>
        </w:rPr>
        <w:t xml:space="preserve">  pasó de tener saldos positivos de 24, 933 toneladas en 1980 a saldos negativos por el orden de las 214, 375 toneladas en el año 2000 (Ver Tabla 2 y Gráfico 3).</w:t>
      </w:r>
    </w:p>
    <w:p w:rsidR="0059267E" w:rsidRPr="00042A0E" w:rsidRDefault="0059267E" w:rsidP="00042A0E">
      <w:pPr>
        <w:jc w:val="both"/>
        <w:rPr>
          <w:rFonts w:ascii="Arial" w:hAnsi="Arial" w:cs="Arial"/>
          <w:sz w:val="20"/>
          <w:szCs w:val="20"/>
        </w:rPr>
      </w:pPr>
      <w:r w:rsidRPr="00042A0E">
        <w:rPr>
          <w:rFonts w:ascii="Arial" w:hAnsi="Arial" w:cs="Arial"/>
          <w:sz w:val="20"/>
          <w:szCs w:val="20"/>
        </w:rPr>
        <w:t>Tabla 2.</w:t>
      </w:r>
    </w:p>
    <w:p w:rsidR="0059267E" w:rsidRPr="00042A0E" w:rsidRDefault="0059267E" w:rsidP="00042A0E">
      <w:pPr>
        <w:jc w:val="both"/>
        <w:rPr>
          <w:rFonts w:ascii="Arial" w:hAnsi="Arial" w:cs="Arial"/>
          <w:sz w:val="20"/>
          <w:szCs w:val="20"/>
        </w:rPr>
      </w:pPr>
      <w:r w:rsidRPr="00042A0E">
        <w:rPr>
          <w:rFonts w:ascii="Arial" w:hAnsi="Arial" w:cs="Arial"/>
          <w:sz w:val="20"/>
          <w:szCs w:val="20"/>
        </w:rPr>
        <w:t>Balanza Comercial de Carne en</w:t>
      </w:r>
    </w:p>
    <w:p w:rsidR="0059267E" w:rsidRPr="00042A0E" w:rsidRDefault="0059267E" w:rsidP="00042A0E">
      <w:pPr>
        <w:jc w:val="both"/>
        <w:rPr>
          <w:rFonts w:ascii="Arial" w:hAnsi="Arial" w:cs="Arial"/>
          <w:sz w:val="20"/>
          <w:szCs w:val="20"/>
        </w:rPr>
      </w:pPr>
      <w:r w:rsidRPr="00042A0E">
        <w:rPr>
          <w:rFonts w:ascii="Arial" w:hAnsi="Arial" w:cs="Arial"/>
          <w:noProof/>
          <w:sz w:val="20"/>
          <w:szCs w:val="20"/>
          <w:lang w:val="es-ES" w:eastAsia="es-ES"/>
        </w:rPr>
        <mc:AlternateContent>
          <mc:Choice Requires="wps">
            <w:drawing>
              <wp:anchor distT="0" distB="0" distL="114300" distR="114300" simplePos="0" relativeHeight="251659264" behindDoc="0" locked="0" layoutInCell="1" allowOverlap="1" wp14:anchorId="268900DB" wp14:editId="70F288DA">
                <wp:simplePos x="0" y="0"/>
                <wp:positionH relativeFrom="column">
                  <wp:posOffset>2104390</wp:posOffset>
                </wp:positionH>
                <wp:positionV relativeFrom="paragraph">
                  <wp:posOffset>48895</wp:posOffset>
                </wp:positionV>
                <wp:extent cx="4253230" cy="2796540"/>
                <wp:effectExtent l="0" t="0" r="13970" b="228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2796540"/>
                        </a:xfrm>
                        <a:prstGeom prst="rect">
                          <a:avLst/>
                        </a:prstGeom>
                        <a:solidFill>
                          <a:srgbClr val="FFFFFF"/>
                        </a:solidFill>
                        <a:ln w="9525">
                          <a:solidFill>
                            <a:srgbClr val="000000"/>
                          </a:solidFill>
                          <a:miter lim="800000"/>
                          <a:headEnd/>
                          <a:tailEnd/>
                        </a:ln>
                      </wps:spPr>
                      <wps:txbx>
                        <w:txbxContent>
                          <w:p w:rsidR="0059267E" w:rsidRDefault="0059267E" w:rsidP="0059267E">
                            <w:pPr>
                              <w:spacing w:after="0"/>
                              <w:jc w:val="center"/>
                            </w:pPr>
                            <w:r>
                              <w:rPr>
                                <w:noProof/>
                                <w:lang w:val="es-ES" w:eastAsia="es-ES"/>
                              </w:rPr>
                              <w:drawing>
                                <wp:inline distT="0" distB="0" distL="0" distR="0" wp14:anchorId="4A7282CA" wp14:editId="26105B9F">
                                  <wp:extent cx="3806456" cy="2743200"/>
                                  <wp:effectExtent l="0" t="0" r="2286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267E" w:rsidRDefault="0059267E" w:rsidP="0059267E">
                            <w:pPr>
                              <w:spacing w:after="0"/>
                              <w:jc w:val="center"/>
                            </w:pPr>
                          </w:p>
                          <w:p w:rsidR="0059267E" w:rsidRDefault="0059267E" w:rsidP="0059267E">
                            <w:pPr>
                              <w:spacing w:after="0"/>
                              <w:jc w:val="center"/>
                            </w:pPr>
                          </w:p>
                          <w:p w:rsidR="0059267E" w:rsidRDefault="0059267E" w:rsidP="0059267E">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5.7pt;margin-top:3.85pt;width:334.9pt;height:2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">
                <v:textbox>
                  <w:txbxContent>
                    <w:p w:rsidR="0059267E" w:rsidRDefault="0059267E" w:rsidP="0059267E">
                      <w:pPr>
                        <w:spacing w:after="0"/>
                        <w:jc w:val="center"/>
                      </w:pPr>
                      <w:r>
                        <w:rPr>
                          <w:noProof/>
                          <w:lang w:val="es-ES" w:eastAsia="es-ES"/>
                        </w:rPr>
                        <w:drawing>
                          <wp:inline distT="0" distB="0" distL="0" distR="0" wp14:anchorId="4A7282CA" wp14:editId="26105B9F">
                            <wp:extent cx="3806456" cy="2743200"/>
                            <wp:effectExtent l="0" t="0" r="2286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267E" w:rsidRDefault="0059267E" w:rsidP="0059267E">
                      <w:pPr>
                        <w:spacing w:after="0"/>
                        <w:jc w:val="center"/>
                      </w:pPr>
                    </w:p>
                    <w:p w:rsidR="0059267E" w:rsidRDefault="0059267E" w:rsidP="0059267E">
                      <w:pPr>
                        <w:spacing w:after="0"/>
                        <w:jc w:val="center"/>
                      </w:pPr>
                    </w:p>
                    <w:p w:rsidR="0059267E" w:rsidRDefault="0059267E" w:rsidP="0059267E">
                      <w:pPr>
                        <w:spacing w:after="0"/>
                        <w:jc w:val="center"/>
                      </w:pPr>
                    </w:p>
                  </w:txbxContent>
                </v:textbox>
              </v:shape>
            </w:pict>
          </mc:Fallback>
        </mc:AlternateContent>
      </w:r>
      <w:r w:rsidRPr="00042A0E">
        <w:rPr>
          <w:rFonts w:ascii="Arial" w:hAnsi="Arial" w:cs="Arial"/>
          <w:sz w:val="20"/>
          <w:szCs w:val="20"/>
        </w:rPr>
        <w:t>Canal de Bovino (toneladas).</w:t>
      </w:r>
    </w:p>
    <w:tbl>
      <w:tblPr>
        <w:tblStyle w:val="Tablaconcuadrcula"/>
        <w:tblW w:w="0" w:type="auto"/>
        <w:tblLook w:val="04A0" w:firstRow="1" w:lastRow="0" w:firstColumn="1" w:lastColumn="0" w:noHBand="0" w:noVBand="1"/>
      </w:tblPr>
      <w:tblGrid>
        <w:gridCol w:w="661"/>
        <w:gridCol w:w="1006"/>
        <w:gridCol w:w="961"/>
      </w:tblGrid>
      <w:tr w:rsidR="0059267E" w:rsidRPr="00042A0E" w:rsidTr="005A320B">
        <w:trPr>
          <w:trHeight w:val="300"/>
        </w:trPr>
        <w:tc>
          <w:tcPr>
            <w:tcW w:w="0" w:type="auto"/>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Año</w:t>
            </w:r>
          </w:p>
        </w:tc>
        <w:tc>
          <w:tcPr>
            <w:tcW w:w="0" w:type="auto"/>
            <w:vAlign w:val="center"/>
            <w:hideMark/>
          </w:tcPr>
          <w:p w:rsidR="0059267E" w:rsidRPr="00042A0E" w:rsidRDefault="0059267E" w:rsidP="00042A0E">
            <w:pPr>
              <w:jc w:val="both"/>
              <w:rPr>
                <w:rFonts w:ascii="Arial" w:eastAsia="Times New Roman" w:hAnsi="Arial" w:cs="Arial"/>
                <w:bCs/>
                <w:color w:val="000000"/>
                <w:sz w:val="20"/>
                <w:szCs w:val="20"/>
                <w:vertAlign w:val="superscript"/>
                <w:lang w:eastAsia="es-MX"/>
              </w:rPr>
            </w:pPr>
            <w:r w:rsidRPr="00042A0E">
              <w:rPr>
                <w:rFonts w:ascii="Arial" w:eastAsia="Times New Roman" w:hAnsi="Arial" w:cs="Arial"/>
                <w:bCs/>
                <w:color w:val="000000"/>
                <w:sz w:val="20"/>
                <w:szCs w:val="20"/>
                <w:lang w:eastAsia="es-MX"/>
              </w:rPr>
              <w:t>(X – M)</w:t>
            </w:r>
            <w:r w:rsidRPr="00042A0E">
              <w:rPr>
                <w:rFonts w:ascii="Arial" w:eastAsia="Times New Roman" w:hAnsi="Arial" w:cs="Arial"/>
                <w:bCs/>
                <w:color w:val="000000"/>
                <w:sz w:val="20"/>
                <w:szCs w:val="20"/>
                <w:vertAlign w:val="superscript"/>
                <w:lang w:eastAsia="es-MX"/>
              </w:rPr>
              <w:t>1/</w:t>
            </w:r>
          </w:p>
        </w:tc>
        <w:tc>
          <w:tcPr>
            <w:tcW w:w="0" w:type="auto"/>
            <w:vAlign w:val="center"/>
            <w:hideMark/>
          </w:tcPr>
          <w:p w:rsidR="0059267E" w:rsidRPr="00042A0E" w:rsidRDefault="0059267E" w:rsidP="00042A0E">
            <w:pPr>
              <w:jc w:val="both"/>
              <w:rPr>
                <w:rFonts w:ascii="Arial" w:eastAsia="Times New Roman" w:hAnsi="Arial" w:cs="Arial"/>
                <w:bCs/>
                <w:color w:val="000000"/>
                <w:sz w:val="20"/>
                <w:szCs w:val="20"/>
                <w:lang w:eastAsia="es-MX"/>
              </w:rPr>
            </w:pPr>
            <w:r w:rsidRPr="00042A0E">
              <w:rPr>
                <w:rFonts w:ascii="Arial" w:eastAsia="Times New Roman" w:hAnsi="Arial" w:cs="Arial"/>
                <w:bCs/>
                <w:color w:val="000000"/>
                <w:sz w:val="20"/>
                <w:szCs w:val="20"/>
                <w:lang w:eastAsia="es-MX"/>
              </w:rPr>
              <w:t>%</w:t>
            </w:r>
            <w:r w:rsidRPr="00042A0E">
              <w:rPr>
                <w:rFonts w:ascii="Arial" w:eastAsia="Times New Roman" w:hAnsi="Arial" w:cs="Arial"/>
                <w:bCs/>
                <w:color w:val="000000"/>
                <w:sz w:val="20"/>
                <w:szCs w:val="20"/>
                <w:vertAlign w:val="superscript"/>
                <w:lang w:eastAsia="es-MX"/>
              </w:rPr>
              <w:t>2/</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1980</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24,933</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1985</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49,638</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99.1%</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1990</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83,605</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68.4%</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1991</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-39,346</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-147.1%</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1992</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-92,413</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134.9%</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1993</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26,239</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-128.4%</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1994</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-35,502</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-235.3%</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1995</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125,204</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-452.7%</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1996</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-63,036</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-150.3%</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1997</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-130,723</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107.4%</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1998</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-190,907</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46.0%</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1999</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-183,264</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-4.0%</w:t>
            </w:r>
          </w:p>
        </w:tc>
      </w:tr>
      <w:tr w:rsidR="0059267E" w:rsidRPr="00042A0E" w:rsidTr="005A320B">
        <w:trPr>
          <w:trHeight w:val="300"/>
        </w:trPr>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2000</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FF0000"/>
                <w:sz w:val="20"/>
                <w:szCs w:val="20"/>
                <w:lang w:eastAsia="es-MX"/>
              </w:rPr>
              <w:t>-214,375</w:t>
            </w:r>
          </w:p>
        </w:tc>
        <w:tc>
          <w:tcPr>
            <w:tcW w:w="0" w:type="auto"/>
            <w:noWrap/>
            <w:vAlign w:val="center"/>
            <w:hideMark/>
          </w:tcPr>
          <w:p w:rsidR="0059267E" w:rsidRPr="00042A0E" w:rsidRDefault="0059267E" w:rsidP="00042A0E">
            <w:pPr>
              <w:jc w:val="both"/>
              <w:rPr>
                <w:rFonts w:ascii="Arial" w:eastAsia="Times New Roman" w:hAnsi="Arial" w:cs="Arial"/>
                <w:color w:val="000000"/>
                <w:sz w:val="20"/>
                <w:szCs w:val="20"/>
                <w:lang w:eastAsia="es-MX"/>
              </w:rPr>
            </w:pPr>
            <w:r w:rsidRPr="00042A0E">
              <w:rPr>
                <w:rFonts w:ascii="Arial" w:eastAsia="Times New Roman" w:hAnsi="Arial" w:cs="Arial"/>
                <w:color w:val="000000"/>
                <w:sz w:val="20"/>
                <w:szCs w:val="20"/>
                <w:lang w:eastAsia="es-MX"/>
              </w:rPr>
              <w:t>17.0%</w:t>
            </w:r>
          </w:p>
        </w:tc>
      </w:tr>
    </w:tbl>
    <w:p w:rsidR="0059267E" w:rsidRPr="00042A0E" w:rsidRDefault="0059267E" w:rsidP="00042A0E">
      <w:pPr>
        <w:jc w:val="both"/>
        <w:rPr>
          <w:rFonts w:ascii="Arial" w:hAnsi="Arial" w:cs="Arial"/>
          <w:sz w:val="20"/>
          <w:szCs w:val="20"/>
        </w:rPr>
      </w:pPr>
      <w:r w:rsidRPr="00042A0E">
        <w:rPr>
          <w:rFonts w:ascii="Arial" w:hAnsi="Arial" w:cs="Arial"/>
          <w:sz w:val="20"/>
          <w:szCs w:val="20"/>
        </w:rPr>
        <w:t>1/ X = Exportaciones; M = Importaciones.</w:t>
      </w:r>
    </w:p>
    <w:p w:rsidR="0059267E" w:rsidRPr="00042A0E" w:rsidRDefault="0059267E" w:rsidP="00042A0E">
      <w:pPr>
        <w:jc w:val="both"/>
        <w:rPr>
          <w:rFonts w:ascii="Arial" w:hAnsi="Arial" w:cs="Arial"/>
          <w:sz w:val="20"/>
          <w:szCs w:val="20"/>
        </w:rPr>
      </w:pPr>
      <w:r w:rsidRPr="00042A0E">
        <w:rPr>
          <w:rFonts w:ascii="Arial" w:hAnsi="Arial" w:cs="Arial"/>
          <w:sz w:val="20"/>
          <w:szCs w:val="20"/>
        </w:rPr>
        <w:t xml:space="preserve">2/ Variación porcentual </w:t>
      </w:r>
      <w:proofErr w:type="spellStart"/>
      <w:r w:rsidRPr="00042A0E">
        <w:rPr>
          <w:rFonts w:ascii="Arial" w:hAnsi="Arial" w:cs="Arial"/>
          <w:sz w:val="20"/>
          <w:szCs w:val="20"/>
        </w:rPr>
        <w:t>respectoal</w:t>
      </w:r>
      <w:proofErr w:type="spellEnd"/>
      <w:r w:rsidRPr="00042A0E">
        <w:rPr>
          <w:rFonts w:ascii="Arial" w:hAnsi="Arial" w:cs="Arial"/>
          <w:sz w:val="20"/>
          <w:szCs w:val="20"/>
        </w:rPr>
        <w:t xml:space="preserve"> periodo inmediato anterior.</w:t>
      </w:r>
    </w:p>
    <w:p w:rsidR="0059267E" w:rsidRPr="00042A0E" w:rsidRDefault="0059267E" w:rsidP="00042A0E">
      <w:pPr>
        <w:jc w:val="both"/>
        <w:rPr>
          <w:rFonts w:ascii="Arial" w:hAnsi="Arial" w:cs="Arial"/>
          <w:sz w:val="20"/>
          <w:szCs w:val="20"/>
        </w:rPr>
      </w:pPr>
      <w:r w:rsidRPr="00042A0E">
        <w:rPr>
          <w:rFonts w:ascii="Arial" w:hAnsi="Arial" w:cs="Arial"/>
          <w:sz w:val="20"/>
          <w:szCs w:val="20"/>
        </w:rPr>
        <w:t>Fuente: Elaboración propia derivada</w:t>
      </w:r>
      <w:r w:rsidR="00042A0E">
        <w:rPr>
          <w:rFonts w:ascii="Arial" w:hAnsi="Arial" w:cs="Arial"/>
          <w:sz w:val="20"/>
          <w:szCs w:val="20"/>
        </w:rPr>
        <w:t xml:space="preserve"> </w:t>
      </w:r>
      <w:r w:rsidRPr="00042A0E">
        <w:rPr>
          <w:rFonts w:ascii="Arial" w:hAnsi="Arial" w:cs="Arial"/>
          <w:sz w:val="20"/>
          <w:szCs w:val="20"/>
        </w:rPr>
        <w:t>de Tabla 1.</w:t>
      </w:r>
    </w:p>
    <w:p w:rsidR="0059267E" w:rsidRPr="00042A0E" w:rsidRDefault="0059267E" w:rsidP="00042A0E">
      <w:pPr>
        <w:jc w:val="both"/>
        <w:rPr>
          <w:rFonts w:ascii="Arial" w:hAnsi="Arial" w:cs="Arial"/>
          <w:sz w:val="20"/>
          <w:szCs w:val="20"/>
        </w:rPr>
      </w:pPr>
    </w:p>
    <w:p w:rsidR="0059267E" w:rsidRPr="00042A0E" w:rsidRDefault="0059267E" w:rsidP="00042A0E">
      <w:pPr>
        <w:jc w:val="both"/>
        <w:rPr>
          <w:rFonts w:ascii="Arial" w:hAnsi="Arial" w:cs="Arial"/>
          <w:sz w:val="20"/>
          <w:szCs w:val="20"/>
        </w:rPr>
      </w:pPr>
      <w:r w:rsidRPr="00042A0E">
        <w:rPr>
          <w:rFonts w:ascii="Arial" w:hAnsi="Arial" w:cs="Arial"/>
          <w:sz w:val="20"/>
          <w:szCs w:val="20"/>
        </w:rPr>
        <w:t>Como puede observarse, en la década de los ochentas la industria de la carne en canal de bovino en México tuvo una balanza comercial positiva, en los años de 1991, 1992 y 1994 tuvo valores negativos, sin embargo en el año de 1995 tuvo una recuperación importante respecto al año inmediato anterior, pero desde el año 1996 y hasta el 2000, la balanza comercial ha sido negativa y la tendencia va en aumento.</w:t>
      </w:r>
    </w:p>
    <w:p w:rsidR="0059267E" w:rsidRPr="008A5F6F" w:rsidRDefault="0059267E" w:rsidP="00042A0E">
      <w:pPr>
        <w:jc w:val="both"/>
        <w:rPr>
          <w:rFonts w:ascii="Arial" w:hAnsi="Arial" w:cs="Arial"/>
          <w:b/>
          <w:sz w:val="20"/>
          <w:szCs w:val="20"/>
        </w:rPr>
      </w:pPr>
      <w:r w:rsidRPr="00042A0E">
        <w:rPr>
          <w:rFonts w:ascii="Arial" w:hAnsi="Arial" w:cs="Arial"/>
          <w:sz w:val="20"/>
          <w:szCs w:val="20"/>
        </w:rPr>
        <w:t xml:space="preserve"> </w:t>
      </w:r>
      <w:r w:rsidRPr="008A5F6F">
        <w:rPr>
          <w:rFonts w:ascii="Arial" w:hAnsi="Arial" w:cs="Arial"/>
          <w:b/>
          <w:sz w:val="20"/>
          <w:szCs w:val="20"/>
        </w:rPr>
        <w:t>Implicaciones socioeconómicas.</w:t>
      </w:r>
    </w:p>
    <w:p w:rsidR="0059267E" w:rsidRPr="00042A0E" w:rsidRDefault="0059267E" w:rsidP="00042A0E">
      <w:pPr>
        <w:jc w:val="both"/>
        <w:rPr>
          <w:rFonts w:ascii="Arial" w:hAnsi="Arial" w:cs="Arial"/>
          <w:sz w:val="20"/>
          <w:szCs w:val="20"/>
        </w:rPr>
      </w:pPr>
      <w:r w:rsidRPr="00042A0E">
        <w:rPr>
          <w:rFonts w:ascii="Arial" w:hAnsi="Arial" w:cs="Arial"/>
          <w:sz w:val="20"/>
          <w:szCs w:val="20"/>
        </w:rPr>
        <w:t xml:space="preserve">Del análisis expuesto hasta este momento, se muestra con total y absoluta contundencia que la actividad económica de la carne en canal de bovino se encontró con indicadores positivos en la década de los ochentas, la producción era superior al consumo nacional, las exportaciones superiores a las importaciones y en consecuencia se encontraba una balanza comercial superavitaria. El primer quinquenio de la década de los noventas se empataron los indicadores. Y ya para el segundo quinquenio de ésta década todos los indicadores antes mencionados se </w:t>
      </w:r>
      <w:r w:rsidRPr="00042A0E">
        <w:rPr>
          <w:rFonts w:ascii="Arial" w:hAnsi="Arial" w:cs="Arial"/>
          <w:sz w:val="20"/>
          <w:szCs w:val="20"/>
        </w:rPr>
        <w:lastRenderedPageBreak/>
        <w:t>revirtieron, el consumo nacional superó a la producción, las importaciones a las exportaciones y en consecuencia la balanza comercial se convirtió a saldos negativos.</w:t>
      </w:r>
    </w:p>
    <w:p w:rsidR="0059267E" w:rsidRPr="00042A0E" w:rsidRDefault="0059267E" w:rsidP="00042A0E">
      <w:pPr>
        <w:jc w:val="both"/>
        <w:rPr>
          <w:rFonts w:ascii="Arial" w:hAnsi="Arial" w:cs="Arial"/>
          <w:sz w:val="20"/>
          <w:szCs w:val="20"/>
        </w:rPr>
      </w:pPr>
      <w:r w:rsidRPr="00042A0E">
        <w:rPr>
          <w:rFonts w:ascii="Arial" w:hAnsi="Arial" w:cs="Arial"/>
          <w:sz w:val="20"/>
          <w:szCs w:val="20"/>
        </w:rPr>
        <w:t xml:space="preserve">Las implicaciones socioeconómicas son profundas. En primer lugar, el hecho de que el consumo sea superior a la producción nacional, el hecho de que consumo per cápita haya tenido un incremento del 5 %, pasando de un valor de 15.5 en el año de 1980 a 16.3 en el año 2000 (Ver Tabla 1), se interpreta como una oportunidad para los productores nacionales que no han sabido aprovechar. </w:t>
      </w:r>
    </w:p>
    <w:p w:rsidR="0059267E" w:rsidRPr="00042A0E" w:rsidRDefault="0059267E" w:rsidP="00042A0E">
      <w:pPr>
        <w:jc w:val="both"/>
        <w:rPr>
          <w:rFonts w:ascii="Arial" w:hAnsi="Arial" w:cs="Arial"/>
          <w:sz w:val="20"/>
          <w:szCs w:val="20"/>
        </w:rPr>
      </w:pPr>
      <w:r w:rsidRPr="00042A0E">
        <w:rPr>
          <w:rFonts w:ascii="Arial" w:hAnsi="Arial" w:cs="Arial"/>
          <w:sz w:val="20"/>
          <w:szCs w:val="20"/>
        </w:rPr>
        <w:t>En segundo lugar, y derivado de lo anterior expuesto, el hecho de que las importaciones estén cubriendo la brecha existente entre la producción y consumo nacional, se interpreta como empleo e ingreso que no se está generando en México y sí se está generando y beneficiando a otros países.</w:t>
      </w:r>
    </w:p>
    <w:p w:rsidR="0059267E" w:rsidRPr="00042A0E" w:rsidRDefault="0059267E" w:rsidP="00042A0E">
      <w:pPr>
        <w:jc w:val="both"/>
        <w:rPr>
          <w:rFonts w:ascii="Arial" w:hAnsi="Arial" w:cs="Arial"/>
          <w:sz w:val="20"/>
          <w:szCs w:val="20"/>
        </w:rPr>
      </w:pPr>
      <w:r w:rsidRPr="00042A0E">
        <w:rPr>
          <w:rFonts w:ascii="Arial" w:hAnsi="Arial" w:cs="Arial"/>
          <w:sz w:val="20"/>
          <w:szCs w:val="20"/>
        </w:rPr>
        <w:t>Lo anterior resulta como un hecho trascendente, dado que “El campo es un sector estratégico, a causa de su potencial para reducir la pobreza e incidir sobre el desarrollo regional</w:t>
      </w:r>
      <w:r w:rsidRPr="00042A0E">
        <w:rPr>
          <w:rStyle w:val="Refdenotaalpie"/>
          <w:rFonts w:ascii="Arial" w:hAnsi="Arial" w:cs="Arial"/>
          <w:sz w:val="20"/>
          <w:szCs w:val="20"/>
        </w:rPr>
        <w:footnoteReference w:id="4"/>
      </w:r>
      <w:r w:rsidRPr="00042A0E">
        <w:rPr>
          <w:rFonts w:ascii="Arial" w:hAnsi="Arial" w:cs="Arial"/>
          <w:sz w:val="20"/>
          <w:szCs w:val="20"/>
        </w:rPr>
        <w:t>”, además “En 2012, de acuerdo con la medición más reciente de la pobreza, en el ámbito rural el 61.6% de la población vivía en condiciones de pobreza</w:t>
      </w:r>
      <w:r w:rsidRPr="00042A0E">
        <w:rPr>
          <w:rStyle w:val="Refdenotaalpie"/>
          <w:rFonts w:ascii="Arial" w:hAnsi="Arial" w:cs="Arial"/>
          <w:sz w:val="20"/>
          <w:szCs w:val="20"/>
        </w:rPr>
        <w:footnoteReference w:id="5"/>
      </w:r>
      <w:r w:rsidRPr="00042A0E">
        <w:rPr>
          <w:rFonts w:ascii="Arial" w:hAnsi="Arial" w:cs="Arial"/>
          <w:sz w:val="20"/>
          <w:szCs w:val="20"/>
        </w:rPr>
        <w:t>”. Y si los indicadores económicos de la carne en canal de bovino no son los esperados, poco abonan a revertir la pobreza en el ámbito rural mexicano.</w:t>
      </w:r>
    </w:p>
    <w:p w:rsidR="0059267E" w:rsidRPr="008A5F6F" w:rsidRDefault="0059267E" w:rsidP="00042A0E">
      <w:pPr>
        <w:jc w:val="both"/>
        <w:rPr>
          <w:rFonts w:ascii="Arial" w:hAnsi="Arial" w:cs="Arial"/>
          <w:b/>
          <w:sz w:val="20"/>
          <w:szCs w:val="20"/>
        </w:rPr>
      </w:pPr>
      <w:r w:rsidRPr="008A5F6F">
        <w:rPr>
          <w:rFonts w:ascii="Arial" w:hAnsi="Arial" w:cs="Arial"/>
          <w:b/>
          <w:sz w:val="20"/>
          <w:szCs w:val="20"/>
        </w:rPr>
        <w:t>Causas estructurales y alternativas.</w:t>
      </w:r>
    </w:p>
    <w:p w:rsidR="0059267E" w:rsidRPr="00042A0E" w:rsidRDefault="0059267E" w:rsidP="00042A0E">
      <w:pPr>
        <w:jc w:val="both"/>
        <w:rPr>
          <w:rFonts w:ascii="Arial" w:hAnsi="Arial" w:cs="Arial"/>
          <w:sz w:val="20"/>
          <w:szCs w:val="20"/>
        </w:rPr>
      </w:pPr>
      <w:r w:rsidRPr="00042A0E">
        <w:rPr>
          <w:rFonts w:ascii="Arial" w:hAnsi="Arial" w:cs="Arial"/>
          <w:sz w:val="20"/>
          <w:szCs w:val="20"/>
        </w:rPr>
        <w:t>Los resultados que obtiene una economía no responden a condiciones coyunturales y de corto plazo, más bien obedecen a condiciones estructurales y de largo plazo. De esta manera, se deben considerar los siguientes elementos estructurales de la economía mexicana:</w:t>
      </w:r>
    </w:p>
    <w:p w:rsidR="0059267E" w:rsidRPr="00042A0E" w:rsidRDefault="0059267E" w:rsidP="00042A0E">
      <w:pPr>
        <w:jc w:val="both"/>
        <w:rPr>
          <w:rFonts w:ascii="Arial" w:hAnsi="Arial" w:cs="Arial"/>
          <w:sz w:val="20"/>
          <w:szCs w:val="20"/>
        </w:rPr>
      </w:pPr>
      <w:r w:rsidRPr="00042A0E">
        <w:rPr>
          <w:rFonts w:ascii="Arial" w:hAnsi="Arial" w:cs="Arial"/>
          <w:sz w:val="20"/>
          <w:szCs w:val="20"/>
          <w:u w:val="single"/>
        </w:rPr>
        <w:t>Economía de libre mercado</w:t>
      </w:r>
      <w:r w:rsidRPr="00042A0E">
        <w:rPr>
          <w:rFonts w:ascii="Arial" w:hAnsi="Arial" w:cs="Arial"/>
          <w:sz w:val="20"/>
          <w:szCs w:val="20"/>
        </w:rPr>
        <w:t xml:space="preserve">. A partir del 1º de enero de 1994 entró en vigencia en México, Estados Unidos y Canadá, el Tratado de Libre Comercio de América del Norte (TLCAN), en inglés </w:t>
      </w:r>
      <w:r w:rsidRPr="00042A0E">
        <w:rPr>
          <w:rFonts w:ascii="Arial" w:hAnsi="Arial" w:cs="Arial"/>
          <w:i/>
          <w:sz w:val="20"/>
          <w:szCs w:val="20"/>
        </w:rPr>
        <w:t xml:space="preserve">North American Free </w:t>
      </w:r>
      <w:proofErr w:type="spellStart"/>
      <w:r w:rsidRPr="00042A0E">
        <w:rPr>
          <w:rFonts w:ascii="Arial" w:hAnsi="Arial" w:cs="Arial"/>
          <w:i/>
          <w:sz w:val="20"/>
          <w:szCs w:val="20"/>
        </w:rPr>
        <w:t>Trade</w:t>
      </w:r>
      <w:proofErr w:type="spellEnd"/>
      <w:r w:rsidRPr="00042A0E">
        <w:rPr>
          <w:rFonts w:ascii="Arial" w:hAnsi="Arial" w:cs="Arial"/>
          <w:i/>
          <w:sz w:val="20"/>
          <w:szCs w:val="20"/>
        </w:rPr>
        <w:t xml:space="preserve"> </w:t>
      </w:r>
      <w:proofErr w:type="spellStart"/>
      <w:r w:rsidRPr="00042A0E">
        <w:rPr>
          <w:rFonts w:ascii="Arial" w:hAnsi="Arial" w:cs="Arial"/>
          <w:i/>
          <w:sz w:val="20"/>
          <w:szCs w:val="20"/>
        </w:rPr>
        <w:t>Agreement</w:t>
      </w:r>
      <w:proofErr w:type="spellEnd"/>
      <w:r w:rsidRPr="00042A0E">
        <w:rPr>
          <w:rFonts w:ascii="Arial" w:hAnsi="Arial" w:cs="Arial"/>
          <w:sz w:val="20"/>
          <w:szCs w:val="20"/>
        </w:rPr>
        <w:t xml:space="preserve"> (NAFTA) y en francés </w:t>
      </w:r>
      <w:proofErr w:type="spellStart"/>
      <w:r w:rsidRPr="00042A0E">
        <w:rPr>
          <w:rFonts w:ascii="Arial" w:hAnsi="Arial" w:cs="Arial"/>
          <w:i/>
          <w:sz w:val="20"/>
          <w:szCs w:val="20"/>
        </w:rPr>
        <w:t>Accord</w:t>
      </w:r>
      <w:proofErr w:type="spellEnd"/>
      <w:r w:rsidRPr="00042A0E">
        <w:rPr>
          <w:rFonts w:ascii="Arial" w:hAnsi="Arial" w:cs="Arial"/>
          <w:i/>
          <w:sz w:val="20"/>
          <w:szCs w:val="20"/>
        </w:rPr>
        <w:t xml:space="preserve"> de libre-</w:t>
      </w:r>
      <w:proofErr w:type="spellStart"/>
      <w:r w:rsidRPr="00042A0E">
        <w:rPr>
          <w:rFonts w:ascii="Arial" w:hAnsi="Arial" w:cs="Arial"/>
          <w:i/>
          <w:sz w:val="20"/>
          <w:szCs w:val="20"/>
        </w:rPr>
        <w:t>échange</w:t>
      </w:r>
      <w:proofErr w:type="spellEnd"/>
      <w:r w:rsidRPr="00042A0E">
        <w:rPr>
          <w:rFonts w:ascii="Arial" w:hAnsi="Arial" w:cs="Arial"/>
          <w:i/>
          <w:sz w:val="20"/>
          <w:szCs w:val="20"/>
        </w:rPr>
        <w:t xml:space="preserve"> </w:t>
      </w:r>
      <w:proofErr w:type="spellStart"/>
      <w:r w:rsidRPr="00042A0E">
        <w:rPr>
          <w:rFonts w:ascii="Arial" w:hAnsi="Arial" w:cs="Arial"/>
          <w:i/>
          <w:sz w:val="20"/>
          <w:szCs w:val="20"/>
        </w:rPr>
        <w:t>nord-américain</w:t>
      </w:r>
      <w:proofErr w:type="spellEnd"/>
      <w:r w:rsidRPr="00042A0E">
        <w:rPr>
          <w:rFonts w:ascii="Arial" w:hAnsi="Arial" w:cs="Arial"/>
          <w:sz w:val="20"/>
          <w:szCs w:val="20"/>
        </w:rPr>
        <w:t xml:space="preserve"> (ALÉNA). Uno de los objetivos del Tratado consistió en eliminar obstáculos al comercio y facilitar la circulación trilateral de bienes y servicios entre los territorios de los países.</w:t>
      </w:r>
    </w:p>
    <w:p w:rsidR="0059267E" w:rsidRPr="00042A0E" w:rsidRDefault="0059267E" w:rsidP="00042A0E">
      <w:pPr>
        <w:jc w:val="both"/>
        <w:rPr>
          <w:rFonts w:ascii="Arial" w:hAnsi="Arial" w:cs="Arial"/>
          <w:sz w:val="20"/>
          <w:szCs w:val="20"/>
        </w:rPr>
      </w:pPr>
      <w:r w:rsidRPr="00042A0E">
        <w:rPr>
          <w:rFonts w:ascii="Arial" w:hAnsi="Arial" w:cs="Arial"/>
          <w:sz w:val="20"/>
          <w:szCs w:val="20"/>
          <w:u w:val="single"/>
        </w:rPr>
        <w:t>Productividad de la economía</w:t>
      </w:r>
      <w:r w:rsidRPr="00042A0E">
        <w:rPr>
          <w:rFonts w:ascii="Arial" w:hAnsi="Arial" w:cs="Arial"/>
          <w:sz w:val="20"/>
          <w:szCs w:val="20"/>
        </w:rPr>
        <w:t>. La productividad total de los factores en la economía ha decrecido en los últimos 30 años a una tasa promedio anual de 0.7%. El crecimiento negativo de la productividad es una de las principales limitantes para el desarrollo nacional.</w:t>
      </w:r>
    </w:p>
    <w:p w:rsidR="0059267E" w:rsidRPr="00042A0E" w:rsidRDefault="0059267E" w:rsidP="00042A0E">
      <w:pPr>
        <w:jc w:val="both"/>
        <w:rPr>
          <w:rFonts w:ascii="Arial" w:hAnsi="Arial" w:cs="Arial"/>
          <w:sz w:val="20"/>
          <w:szCs w:val="20"/>
        </w:rPr>
      </w:pPr>
      <w:r w:rsidRPr="00042A0E">
        <w:rPr>
          <w:rFonts w:ascii="Arial" w:hAnsi="Arial" w:cs="Arial"/>
          <w:sz w:val="20"/>
          <w:szCs w:val="20"/>
        </w:rPr>
        <w:t>De esta manera, y en un contexto de economía de libre mercado y en donde la productividad de los factores es uno de los principales elementos para el desarrollo, el Plan Nacional de Desarrollo 2013-2018, plantea como objetivo para el sector agropecuario y pesquero del país, que éste garantice la seguridad alimentaria del país a través de las siguientes estrategias:</w:t>
      </w:r>
    </w:p>
    <w:p w:rsidR="0059267E" w:rsidRPr="00042A0E" w:rsidRDefault="0059267E" w:rsidP="00042A0E">
      <w:pPr>
        <w:jc w:val="both"/>
        <w:rPr>
          <w:rFonts w:ascii="Arial" w:hAnsi="Arial" w:cs="Arial"/>
          <w:sz w:val="20"/>
          <w:szCs w:val="20"/>
        </w:rPr>
      </w:pPr>
      <w:r w:rsidRPr="00042A0E">
        <w:rPr>
          <w:rFonts w:ascii="Arial" w:hAnsi="Arial" w:cs="Arial"/>
          <w:sz w:val="20"/>
          <w:szCs w:val="20"/>
        </w:rPr>
        <w:t>Impulsando la productividad en el sector agroalimentario mediante la inversión en el desarrollo de capital físico, humano y tecnológico.</w:t>
      </w:r>
    </w:p>
    <w:p w:rsidR="0059267E" w:rsidRPr="00042A0E" w:rsidRDefault="0059267E" w:rsidP="00042A0E">
      <w:pPr>
        <w:jc w:val="both"/>
        <w:rPr>
          <w:rFonts w:ascii="Arial" w:hAnsi="Arial" w:cs="Arial"/>
          <w:sz w:val="20"/>
          <w:szCs w:val="20"/>
        </w:rPr>
      </w:pPr>
      <w:r w:rsidRPr="00042A0E">
        <w:rPr>
          <w:rFonts w:ascii="Arial" w:hAnsi="Arial" w:cs="Arial"/>
          <w:sz w:val="20"/>
          <w:szCs w:val="20"/>
        </w:rPr>
        <w:t>Impulsando modelos de asociación que generen economías de escala y mayor valor agregado de los productores del sector agroalimentario.</w:t>
      </w:r>
    </w:p>
    <w:p w:rsidR="0059267E" w:rsidRPr="00042A0E" w:rsidRDefault="0059267E" w:rsidP="00042A0E">
      <w:pPr>
        <w:jc w:val="both"/>
        <w:rPr>
          <w:rFonts w:ascii="Arial" w:hAnsi="Arial" w:cs="Arial"/>
          <w:sz w:val="20"/>
          <w:szCs w:val="20"/>
        </w:rPr>
      </w:pPr>
      <w:r w:rsidRPr="00042A0E">
        <w:rPr>
          <w:rFonts w:ascii="Arial" w:hAnsi="Arial" w:cs="Arial"/>
          <w:sz w:val="20"/>
          <w:szCs w:val="20"/>
        </w:rPr>
        <w:lastRenderedPageBreak/>
        <w:t>Promoviendo mayor certidumbre en la actividad agroalimentaria mediante mecanismos de administración de riesgos.</w:t>
      </w:r>
    </w:p>
    <w:p w:rsidR="0059267E" w:rsidRPr="00042A0E" w:rsidRDefault="0059267E" w:rsidP="00042A0E">
      <w:pPr>
        <w:jc w:val="both"/>
        <w:rPr>
          <w:rFonts w:ascii="Arial" w:hAnsi="Arial" w:cs="Arial"/>
          <w:sz w:val="20"/>
          <w:szCs w:val="20"/>
        </w:rPr>
      </w:pPr>
      <w:r w:rsidRPr="00042A0E">
        <w:rPr>
          <w:rFonts w:ascii="Arial" w:hAnsi="Arial" w:cs="Arial"/>
          <w:sz w:val="20"/>
          <w:szCs w:val="20"/>
        </w:rPr>
        <w:t>Impulsando el aprovechamiento sustentable de los recursos naturales del país.</w:t>
      </w:r>
    </w:p>
    <w:p w:rsidR="0059267E" w:rsidRPr="00042A0E" w:rsidRDefault="0059267E" w:rsidP="00042A0E">
      <w:pPr>
        <w:jc w:val="both"/>
        <w:rPr>
          <w:rFonts w:ascii="Arial" w:hAnsi="Arial" w:cs="Arial"/>
          <w:sz w:val="20"/>
          <w:szCs w:val="20"/>
        </w:rPr>
      </w:pPr>
      <w:r w:rsidRPr="00042A0E">
        <w:rPr>
          <w:rFonts w:ascii="Arial" w:hAnsi="Arial" w:cs="Arial"/>
          <w:sz w:val="20"/>
          <w:szCs w:val="20"/>
        </w:rPr>
        <w:t>Modernizando el marco normativo e institucional para impulsar un sector agroalimentario productivo y competitivo.</w:t>
      </w:r>
    </w:p>
    <w:p w:rsidR="0059267E" w:rsidRPr="008A5F6F" w:rsidRDefault="008A5F6F" w:rsidP="00042A0E">
      <w:pPr>
        <w:jc w:val="both"/>
        <w:rPr>
          <w:rFonts w:ascii="Arial" w:hAnsi="Arial" w:cs="Arial"/>
          <w:b/>
          <w:sz w:val="20"/>
          <w:szCs w:val="20"/>
        </w:rPr>
      </w:pPr>
      <w:r w:rsidRPr="008A5F6F">
        <w:rPr>
          <w:rFonts w:ascii="Arial" w:hAnsi="Arial" w:cs="Arial"/>
          <w:b/>
          <w:sz w:val="20"/>
          <w:szCs w:val="20"/>
        </w:rPr>
        <w:t>CONCLUSIONES.</w:t>
      </w:r>
    </w:p>
    <w:p w:rsidR="0059267E" w:rsidRPr="00042A0E" w:rsidRDefault="0059267E" w:rsidP="00042A0E">
      <w:pPr>
        <w:jc w:val="both"/>
        <w:rPr>
          <w:rFonts w:ascii="Arial" w:hAnsi="Arial" w:cs="Arial"/>
          <w:sz w:val="20"/>
          <w:szCs w:val="20"/>
        </w:rPr>
      </w:pPr>
      <w:r w:rsidRPr="00042A0E">
        <w:rPr>
          <w:rFonts w:ascii="Arial" w:hAnsi="Arial" w:cs="Arial"/>
          <w:sz w:val="20"/>
          <w:szCs w:val="20"/>
        </w:rPr>
        <w:t>En el periodo comprendido del año 1980 al año 2000:</w:t>
      </w:r>
    </w:p>
    <w:p w:rsidR="0059267E" w:rsidRPr="00042A0E" w:rsidRDefault="0059267E" w:rsidP="00042A0E">
      <w:pPr>
        <w:jc w:val="both"/>
        <w:rPr>
          <w:rFonts w:ascii="Arial" w:hAnsi="Arial" w:cs="Arial"/>
          <w:sz w:val="20"/>
          <w:szCs w:val="20"/>
        </w:rPr>
      </w:pPr>
      <w:r w:rsidRPr="00042A0E">
        <w:rPr>
          <w:rFonts w:ascii="Arial" w:hAnsi="Arial" w:cs="Arial"/>
          <w:sz w:val="20"/>
          <w:szCs w:val="20"/>
        </w:rPr>
        <w:t>Los indicadores económicos de producción y exportaciones de carne en canal de bovino han aumentado. No obstante, los indicadores de consumo e importaciones han aumentado en mayor proporción que los primeros mencionados.</w:t>
      </w:r>
    </w:p>
    <w:p w:rsidR="0059267E" w:rsidRPr="00042A0E" w:rsidRDefault="0059267E" w:rsidP="00042A0E">
      <w:pPr>
        <w:jc w:val="both"/>
        <w:rPr>
          <w:rFonts w:ascii="Arial" w:hAnsi="Arial" w:cs="Arial"/>
          <w:sz w:val="20"/>
          <w:szCs w:val="20"/>
        </w:rPr>
      </w:pPr>
      <w:r w:rsidRPr="00042A0E">
        <w:rPr>
          <w:rFonts w:ascii="Arial" w:hAnsi="Arial" w:cs="Arial"/>
          <w:sz w:val="20"/>
          <w:szCs w:val="20"/>
        </w:rPr>
        <w:t>Lo anterior ha provocado que la balanza comercial de la carne en canal de bovino haya pasado de superavitaria a deficitaria, desaprovechando los productores y trabajadores nacionales de esta actividad económica, la oportunidad de generar empleo e ingreso en el país y sí se está beneficiando a otros países.</w:t>
      </w:r>
    </w:p>
    <w:p w:rsidR="0059267E" w:rsidRPr="00042A0E" w:rsidRDefault="0059267E" w:rsidP="00042A0E">
      <w:pPr>
        <w:jc w:val="both"/>
        <w:rPr>
          <w:rFonts w:ascii="Arial" w:hAnsi="Arial" w:cs="Arial"/>
          <w:sz w:val="20"/>
          <w:szCs w:val="20"/>
        </w:rPr>
      </w:pPr>
      <w:r w:rsidRPr="00042A0E">
        <w:rPr>
          <w:rFonts w:ascii="Arial" w:hAnsi="Arial" w:cs="Arial"/>
          <w:sz w:val="20"/>
          <w:szCs w:val="20"/>
        </w:rPr>
        <w:t>La pérdida de oportunidad de generar empleo e ingreso en la actividad económica de la carne de bovino, resulta lamentable en un contexto en donde más del 60.0% de la población del ámbito rural vive en condiciones de pobreza.</w:t>
      </w:r>
    </w:p>
    <w:p w:rsidR="0059267E" w:rsidRPr="00042A0E" w:rsidRDefault="0059267E" w:rsidP="00042A0E">
      <w:pPr>
        <w:jc w:val="both"/>
        <w:rPr>
          <w:rFonts w:ascii="Arial" w:hAnsi="Arial" w:cs="Arial"/>
          <w:sz w:val="20"/>
          <w:szCs w:val="20"/>
        </w:rPr>
      </w:pPr>
      <w:r w:rsidRPr="00042A0E">
        <w:rPr>
          <w:rFonts w:ascii="Arial" w:hAnsi="Arial" w:cs="Arial"/>
          <w:sz w:val="20"/>
          <w:szCs w:val="20"/>
        </w:rPr>
        <w:t>El contexto económico que hoy vivimos está marcado por una economía de libre mercado, en donde,  el crecimiento de la productividad  es uno de los principales elementos para el desarrollo nacional.</w:t>
      </w:r>
    </w:p>
    <w:p w:rsidR="0059267E" w:rsidRPr="008A5F6F" w:rsidRDefault="008A5F6F" w:rsidP="00042A0E">
      <w:pPr>
        <w:jc w:val="both"/>
        <w:rPr>
          <w:rFonts w:ascii="Arial" w:hAnsi="Arial" w:cs="Arial"/>
          <w:b/>
          <w:sz w:val="20"/>
          <w:szCs w:val="20"/>
        </w:rPr>
      </w:pPr>
      <w:r w:rsidRPr="008A5F6F">
        <w:rPr>
          <w:rFonts w:ascii="Arial" w:hAnsi="Arial" w:cs="Arial"/>
          <w:b/>
          <w:sz w:val="20"/>
          <w:szCs w:val="20"/>
        </w:rPr>
        <w:t>REFERENCIAS BIBLIOGRÁFICAS.</w:t>
      </w:r>
    </w:p>
    <w:p w:rsidR="0059267E" w:rsidRPr="00042A0E" w:rsidRDefault="0059267E" w:rsidP="00042A0E">
      <w:pPr>
        <w:jc w:val="both"/>
        <w:rPr>
          <w:rFonts w:ascii="Arial" w:hAnsi="Arial" w:cs="Arial"/>
          <w:sz w:val="20"/>
          <w:szCs w:val="20"/>
        </w:rPr>
      </w:pPr>
      <w:proofErr w:type="spellStart"/>
      <w:r w:rsidRPr="00042A0E">
        <w:rPr>
          <w:rFonts w:ascii="Arial" w:hAnsi="Arial" w:cs="Arial"/>
          <w:sz w:val="20"/>
          <w:szCs w:val="20"/>
        </w:rPr>
        <w:t>Chauvet</w:t>
      </w:r>
      <w:proofErr w:type="spellEnd"/>
      <w:r w:rsidRPr="00042A0E">
        <w:rPr>
          <w:rFonts w:ascii="Arial" w:hAnsi="Arial" w:cs="Arial"/>
          <w:sz w:val="20"/>
          <w:szCs w:val="20"/>
        </w:rPr>
        <w:t>, Michelle. “La inserción trunca. La ganadería mexicana enviada a sacrificio”. Tomado del libro: El campo mexicano: Ajuste neoliberal y alternativas. Editorial UNAM, IIE. Fecha de publicación: 1997. José Luis Calva (Coordinador).</w:t>
      </w:r>
    </w:p>
    <w:p w:rsidR="0059267E" w:rsidRPr="00042A0E" w:rsidRDefault="0059267E" w:rsidP="00042A0E">
      <w:pPr>
        <w:jc w:val="both"/>
        <w:rPr>
          <w:rFonts w:ascii="Arial" w:hAnsi="Arial" w:cs="Arial"/>
          <w:sz w:val="20"/>
          <w:szCs w:val="20"/>
        </w:rPr>
      </w:pPr>
      <w:r w:rsidRPr="00042A0E">
        <w:rPr>
          <w:rFonts w:ascii="Arial" w:hAnsi="Arial" w:cs="Arial"/>
          <w:sz w:val="20"/>
          <w:szCs w:val="20"/>
        </w:rPr>
        <w:t>Constitución Política de los Estados Unidos Mexicanos.</w:t>
      </w:r>
    </w:p>
    <w:p w:rsidR="0059267E" w:rsidRPr="00042A0E" w:rsidRDefault="0059267E" w:rsidP="00042A0E">
      <w:pPr>
        <w:jc w:val="both"/>
        <w:rPr>
          <w:rFonts w:ascii="Arial" w:hAnsi="Arial" w:cs="Arial"/>
          <w:sz w:val="20"/>
          <w:szCs w:val="20"/>
        </w:rPr>
      </w:pPr>
      <w:r w:rsidRPr="00042A0E">
        <w:rPr>
          <w:rFonts w:ascii="Arial" w:hAnsi="Arial" w:cs="Arial"/>
          <w:sz w:val="20"/>
          <w:szCs w:val="20"/>
        </w:rPr>
        <w:t>Ley de Desarrollo Rural Sustentable. Última reforma publicada en el Diario Oficial de la Federación el 26 de mayo de 2011.</w:t>
      </w:r>
    </w:p>
    <w:p w:rsidR="0059267E" w:rsidRPr="00042A0E" w:rsidRDefault="0059267E" w:rsidP="00042A0E">
      <w:pPr>
        <w:jc w:val="both"/>
        <w:rPr>
          <w:rFonts w:ascii="Arial" w:hAnsi="Arial" w:cs="Arial"/>
          <w:sz w:val="20"/>
          <w:szCs w:val="20"/>
        </w:rPr>
      </w:pPr>
      <w:r w:rsidRPr="00042A0E">
        <w:rPr>
          <w:rFonts w:ascii="Arial" w:hAnsi="Arial" w:cs="Arial"/>
          <w:sz w:val="20"/>
          <w:szCs w:val="20"/>
        </w:rPr>
        <w:t>Plan Nacional de Desarrollo 2013 – 2018. Gobierno de la República Mexicana.</w:t>
      </w:r>
    </w:p>
    <w:p w:rsidR="0059267E" w:rsidRPr="00042A0E" w:rsidRDefault="0059267E" w:rsidP="00042A0E">
      <w:pPr>
        <w:jc w:val="both"/>
        <w:rPr>
          <w:rFonts w:ascii="Arial" w:hAnsi="Arial" w:cs="Arial"/>
          <w:sz w:val="20"/>
          <w:szCs w:val="20"/>
        </w:rPr>
      </w:pPr>
      <w:r w:rsidRPr="00042A0E">
        <w:rPr>
          <w:rFonts w:ascii="Arial" w:hAnsi="Arial" w:cs="Arial"/>
          <w:sz w:val="20"/>
          <w:szCs w:val="20"/>
        </w:rPr>
        <w:t>Programa Sectorial de Desarrollo Agropecuario, Pesquero y Alimentario 2013-2018. Publicado en el Diario Oficial de la Federación el viernes 13 de diciembre de 2013.</w:t>
      </w:r>
    </w:p>
    <w:p w:rsidR="0059267E" w:rsidRPr="00042A0E" w:rsidRDefault="0059267E" w:rsidP="00042A0E">
      <w:pPr>
        <w:jc w:val="both"/>
        <w:rPr>
          <w:rFonts w:ascii="Arial" w:hAnsi="Arial" w:cs="Arial"/>
          <w:sz w:val="20"/>
          <w:szCs w:val="20"/>
        </w:rPr>
      </w:pPr>
      <w:r w:rsidRPr="00042A0E">
        <w:rPr>
          <w:rFonts w:ascii="Arial" w:hAnsi="Arial" w:cs="Arial"/>
          <w:sz w:val="20"/>
          <w:szCs w:val="20"/>
        </w:rPr>
        <w:t xml:space="preserve">Rubio Vega, Blanca Aurora. “La política agropecuaria neoliberal y la crisis alimentaria (1988 – 1996). Tomado del libro: El campo mexicano: Ajuste neoliberal y alternativas. Editorial UNAM, IIE. Fecha de publicación: 1997. José Luis Calva (Coordinador). </w:t>
      </w:r>
    </w:p>
    <w:p w:rsidR="0059267E" w:rsidRPr="00042A0E" w:rsidRDefault="0059267E" w:rsidP="00042A0E">
      <w:pPr>
        <w:jc w:val="both"/>
        <w:rPr>
          <w:rFonts w:ascii="Arial" w:hAnsi="Arial" w:cs="Arial"/>
          <w:sz w:val="20"/>
          <w:szCs w:val="20"/>
        </w:rPr>
      </w:pPr>
      <w:r w:rsidRPr="00042A0E">
        <w:rPr>
          <w:rFonts w:ascii="Arial" w:hAnsi="Arial" w:cs="Arial"/>
          <w:sz w:val="20"/>
          <w:szCs w:val="20"/>
        </w:rPr>
        <w:t>Sistema de Clasificación Industrial de América Del Norte, México, 2007. Tercera edición, 2007. Instituto Nacional de Estadística Geografía e Informática.</w:t>
      </w:r>
    </w:p>
    <w:p w:rsidR="0093581E" w:rsidRPr="00042A0E" w:rsidRDefault="0093581E" w:rsidP="0093581E">
      <w:pPr>
        <w:spacing w:after="0"/>
        <w:jc w:val="both"/>
        <w:rPr>
          <w:rFonts w:ascii="Arial" w:hAnsi="Arial" w:cs="Arial"/>
          <w:sz w:val="20"/>
          <w:szCs w:val="20"/>
        </w:rPr>
      </w:pPr>
    </w:p>
    <w:sectPr w:rsidR="0093581E" w:rsidRPr="00042A0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03" w:rsidRDefault="002D5303" w:rsidP="0059267E">
      <w:pPr>
        <w:spacing w:after="0" w:line="240" w:lineRule="auto"/>
      </w:pPr>
      <w:r>
        <w:separator/>
      </w:r>
    </w:p>
  </w:endnote>
  <w:endnote w:type="continuationSeparator" w:id="0">
    <w:p w:rsidR="002D5303" w:rsidRDefault="002D5303" w:rsidP="0059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03" w:rsidRDefault="002D5303" w:rsidP="0059267E">
      <w:pPr>
        <w:spacing w:after="0" w:line="240" w:lineRule="auto"/>
      </w:pPr>
      <w:r>
        <w:separator/>
      </w:r>
    </w:p>
  </w:footnote>
  <w:footnote w:type="continuationSeparator" w:id="0">
    <w:p w:rsidR="002D5303" w:rsidRDefault="002D5303" w:rsidP="0059267E">
      <w:pPr>
        <w:spacing w:after="0" w:line="240" w:lineRule="auto"/>
      </w:pPr>
      <w:r>
        <w:continuationSeparator/>
      </w:r>
    </w:p>
  </w:footnote>
  <w:footnote w:id="1">
    <w:p w:rsidR="0059267E" w:rsidRDefault="0059267E" w:rsidP="0059267E">
      <w:pPr>
        <w:pStyle w:val="Textonotapie"/>
      </w:pPr>
      <w:r>
        <w:rPr>
          <w:rStyle w:val="Refdenotaalpie"/>
        </w:rPr>
        <w:footnoteRef/>
      </w:r>
      <w:r>
        <w:t xml:space="preserve"> Plan Nacional de Desarrollo 2013-2018. Gobierno de la República Mexicana. Página 82.</w:t>
      </w:r>
    </w:p>
  </w:footnote>
  <w:footnote w:id="2">
    <w:p w:rsidR="0059267E" w:rsidRDefault="0059267E" w:rsidP="0059267E">
      <w:pPr>
        <w:pStyle w:val="Textonotapie"/>
      </w:pPr>
      <w:r>
        <w:rPr>
          <w:rStyle w:val="Refdenotaalpie"/>
        </w:rPr>
        <w:footnoteRef/>
      </w:r>
      <w:r>
        <w:t xml:space="preserve"> Sumatoria de la producción nacional más las exportaciones menos las importaciones.</w:t>
      </w:r>
    </w:p>
  </w:footnote>
  <w:footnote w:id="3">
    <w:p w:rsidR="0059267E" w:rsidRDefault="0059267E" w:rsidP="0059267E">
      <w:pPr>
        <w:pStyle w:val="Textonotapie"/>
      </w:pPr>
      <w:r>
        <w:rPr>
          <w:rStyle w:val="Refdenotaalpie"/>
        </w:rPr>
        <w:footnoteRef/>
      </w:r>
      <w:r>
        <w:t xml:space="preserve"> Valor resultante de la diferencia de las exportaciones menos las importaciones o la producción menos el consumo.</w:t>
      </w:r>
    </w:p>
  </w:footnote>
  <w:footnote w:id="4">
    <w:p w:rsidR="0059267E" w:rsidRDefault="0059267E" w:rsidP="0059267E">
      <w:pPr>
        <w:pStyle w:val="Textonotapie"/>
      </w:pPr>
      <w:r>
        <w:rPr>
          <w:rStyle w:val="Refdenotaalpie"/>
        </w:rPr>
        <w:footnoteRef/>
      </w:r>
      <w:r>
        <w:t xml:space="preserve"> Plan Nacional de Desarrollo 2013-2018. Gobierno de la República Mexicana. Página 82.</w:t>
      </w:r>
    </w:p>
  </w:footnote>
  <w:footnote w:id="5">
    <w:p w:rsidR="0059267E" w:rsidRDefault="0059267E" w:rsidP="0059267E">
      <w:pPr>
        <w:pStyle w:val="Textonotapie"/>
      </w:pPr>
      <w:r>
        <w:rPr>
          <w:rStyle w:val="Refdenotaalpie"/>
        </w:rPr>
        <w:footnoteRef/>
      </w:r>
      <w:r>
        <w:t xml:space="preserve"> Programa Sectorial de Desarrollo Agropecuario, Pesquero y Alimentario 2013-2013. Publicado en el Diario Oficial de la Federación en fecha del viernes 13 de diciembre de 213. Página 56 (Cuarta Sección).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5E99"/>
    <w:multiLevelType w:val="hybridMultilevel"/>
    <w:tmpl w:val="917224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46364C3A"/>
    <w:multiLevelType w:val="hybridMultilevel"/>
    <w:tmpl w:val="D4A085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66BB6454"/>
    <w:multiLevelType w:val="hybridMultilevel"/>
    <w:tmpl w:val="717C3B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2C"/>
    <w:rsid w:val="00042A0E"/>
    <w:rsid w:val="000C501E"/>
    <w:rsid w:val="00102052"/>
    <w:rsid w:val="002D5303"/>
    <w:rsid w:val="0059267E"/>
    <w:rsid w:val="00622873"/>
    <w:rsid w:val="006E6A2C"/>
    <w:rsid w:val="007B2A0A"/>
    <w:rsid w:val="00844464"/>
    <w:rsid w:val="008A5F6F"/>
    <w:rsid w:val="0093581E"/>
    <w:rsid w:val="00935988"/>
    <w:rsid w:val="00AE552F"/>
    <w:rsid w:val="00B65448"/>
    <w:rsid w:val="00C17586"/>
    <w:rsid w:val="00D16B46"/>
    <w:rsid w:val="00E0170F"/>
    <w:rsid w:val="00ED5F11"/>
    <w:rsid w:val="00EF12CD"/>
    <w:rsid w:val="00F75863"/>
    <w:rsid w:val="00F95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59267E"/>
    <w:pPr>
      <w:keepNext/>
      <w:spacing w:after="0" w:line="240" w:lineRule="auto"/>
      <w:outlineLvl w:val="4"/>
    </w:pPr>
    <w:rPr>
      <w:rFonts w:ascii="Times New Roman" w:eastAsia="Times New Roman" w:hAnsi="Times New Roman" w:cs="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9267E"/>
    <w:rPr>
      <w:rFonts w:ascii="Times New Roman" w:eastAsia="Times New Roman" w:hAnsi="Times New Roman" w:cs="Times New Roman"/>
      <w:b/>
      <w:sz w:val="24"/>
      <w:szCs w:val="20"/>
      <w:u w:val="single"/>
      <w:lang w:val="es-ES" w:eastAsia="es-ES"/>
    </w:rPr>
  </w:style>
  <w:style w:type="table" w:styleId="Tablaconcuadrcula">
    <w:name w:val="Table Grid"/>
    <w:basedOn w:val="Tablanormal"/>
    <w:uiPriority w:val="59"/>
    <w:rsid w:val="0059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267E"/>
    <w:pPr>
      <w:ind w:left="720"/>
      <w:contextualSpacing/>
    </w:pPr>
  </w:style>
  <w:style w:type="paragraph" w:styleId="Textonotapie">
    <w:name w:val="footnote text"/>
    <w:basedOn w:val="Normal"/>
    <w:link w:val="TextonotapieCar"/>
    <w:uiPriority w:val="99"/>
    <w:semiHidden/>
    <w:unhideWhenUsed/>
    <w:rsid w:val="005926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267E"/>
    <w:rPr>
      <w:sz w:val="20"/>
      <w:szCs w:val="20"/>
    </w:rPr>
  </w:style>
  <w:style w:type="character" w:styleId="Refdenotaalpie">
    <w:name w:val="footnote reference"/>
    <w:basedOn w:val="Fuentedeprrafopredeter"/>
    <w:uiPriority w:val="99"/>
    <w:semiHidden/>
    <w:unhideWhenUsed/>
    <w:rsid w:val="0059267E"/>
    <w:rPr>
      <w:vertAlign w:val="superscript"/>
    </w:rPr>
  </w:style>
  <w:style w:type="paragraph" w:styleId="Textodeglobo">
    <w:name w:val="Balloon Text"/>
    <w:basedOn w:val="Normal"/>
    <w:link w:val="TextodegloboCar"/>
    <w:uiPriority w:val="99"/>
    <w:semiHidden/>
    <w:unhideWhenUsed/>
    <w:rsid w:val="0059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67E"/>
    <w:rPr>
      <w:rFonts w:ascii="Tahoma" w:hAnsi="Tahoma" w:cs="Tahoma"/>
      <w:sz w:val="16"/>
      <w:szCs w:val="16"/>
    </w:rPr>
  </w:style>
  <w:style w:type="character" w:styleId="Hipervnculo">
    <w:name w:val="Hyperlink"/>
    <w:basedOn w:val="Fuentedeprrafopredeter"/>
    <w:unhideWhenUsed/>
    <w:rsid w:val="007B2A0A"/>
    <w:rPr>
      <w:color w:val="0000FF" w:themeColor="hyperlink"/>
      <w:u w:val="single"/>
    </w:rPr>
  </w:style>
  <w:style w:type="paragraph" w:styleId="NormalWeb">
    <w:name w:val="Normal (Web)"/>
    <w:basedOn w:val="Normal"/>
    <w:uiPriority w:val="99"/>
    <w:semiHidden/>
    <w:unhideWhenUsed/>
    <w:rsid w:val="00042A0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59267E"/>
    <w:pPr>
      <w:keepNext/>
      <w:spacing w:after="0" w:line="240" w:lineRule="auto"/>
      <w:outlineLvl w:val="4"/>
    </w:pPr>
    <w:rPr>
      <w:rFonts w:ascii="Times New Roman" w:eastAsia="Times New Roman" w:hAnsi="Times New Roman" w:cs="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9267E"/>
    <w:rPr>
      <w:rFonts w:ascii="Times New Roman" w:eastAsia="Times New Roman" w:hAnsi="Times New Roman" w:cs="Times New Roman"/>
      <w:b/>
      <w:sz w:val="24"/>
      <w:szCs w:val="20"/>
      <w:u w:val="single"/>
      <w:lang w:val="es-ES" w:eastAsia="es-ES"/>
    </w:rPr>
  </w:style>
  <w:style w:type="table" w:styleId="Tablaconcuadrcula">
    <w:name w:val="Table Grid"/>
    <w:basedOn w:val="Tablanormal"/>
    <w:uiPriority w:val="59"/>
    <w:rsid w:val="0059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267E"/>
    <w:pPr>
      <w:ind w:left="720"/>
      <w:contextualSpacing/>
    </w:pPr>
  </w:style>
  <w:style w:type="paragraph" w:styleId="Textonotapie">
    <w:name w:val="footnote text"/>
    <w:basedOn w:val="Normal"/>
    <w:link w:val="TextonotapieCar"/>
    <w:uiPriority w:val="99"/>
    <w:semiHidden/>
    <w:unhideWhenUsed/>
    <w:rsid w:val="005926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267E"/>
    <w:rPr>
      <w:sz w:val="20"/>
      <w:szCs w:val="20"/>
    </w:rPr>
  </w:style>
  <w:style w:type="character" w:styleId="Refdenotaalpie">
    <w:name w:val="footnote reference"/>
    <w:basedOn w:val="Fuentedeprrafopredeter"/>
    <w:uiPriority w:val="99"/>
    <w:semiHidden/>
    <w:unhideWhenUsed/>
    <w:rsid w:val="0059267E"/>
    <w:rPr>
      <w:vertAlign w:val="superscript"/>
    </w:rPr>
  </w:style>
  <w:style w:type="paragraph" w:styleId="Textodeglobo">
    <w:name w:val="Balloon Text"/>
    <w:basedOn w:val="Normal"/>
    <w:link w:val="TextodegloboCar"/>
    <w:uiPriority w:val="99"/>
    <w:semiHidden/>
    <w:unhideWhenUsed/>
    <w:rsid w:val="0059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67E"/>
    <w:rPr>
      <w:rFonts w:ascii="Tahoma" w:hAnsi="Tahoma" w:cs="Tahoma"/>
      <w:sz w:val="16"/>
      <w:szCs w:val="16"/>
    </w:rPr>
  </w:style>
  <w:style w:type="character" w:styleId="Hipervnculo">
    <w:name w:val="Hyperlink"/>
    <w:basedOn w:val="Fuentedeprrafopredeter"/>
    <w:unhideWhenUsed/>
    <w:rsid w:val="007B2A0A"/>
    <w:rPr>
      <w:color w:val="0000FF" w:themeColor="hyperlink"/>
      <w:u w:val="single"/>
    </w:rPr>
  </w:style>
  <w:style w:type="paragraph" w:styleId="NormalWeb">
    <w:name w:val="Normal (Web)"/>
    <w:basedOn w:val="Normal"/>
    <w:uiPriority w:val="99"/>
    <w:semiHidden/>
    <w:unhideWhenUsed/>
    <w:rsid w:val="00042A0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lucio@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ctavio\Documents\en%20uso\personales\respaldos\excel\sagarpa%20seminar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ctavio\Documents\en%20uso\personales\respaldos\excel\sagarpa%20seminar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ctavio\Documents\en%20uso\personales\respaldos\excel\sagarpa%20semin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s-MX"/>
              <a:t>Gráfico</a:t>
            </a:r>
            <a:r>
              <a:rPr lang="es-MX" baseline="0"/>
              <a:t> 1. Producción y consumo de carne en canal de bovino (1980-2000)</a:t>
            </a:r>
            <a:endParaRPr lang="es-MX"/>
          </a:p>
        </c:rich>
      </c:tx>
      <c:overlay val="0"/>
    </c:title>
    <c:autoTitleDeleted val="0"/>
    <c:plotArea>
      <c:layout/>
      <c:scatterChart>
        <c:scatterStyle val="smoothMarker"/>
        <c:varyColors val="0"/>
        <c:ser>
          <c:idx val="0"/>
          <c:order val="0"/>
          <c:tx>
            <c:strRef>
              <c:f>Tabla12.CNABovino!$C$6</c:f>
              <c:strCache>
                <c:ptCount val="1"/>
                <c:pt idx="0">
                  <c:v>Producción</c:v>
                </c:pt>
              </c:strCache>
            </c:strRef>
          </c:tx>
          <c:marker>
            <c:symbol val="none"/>
          </c:marker>
          <c:xVal>
            <c:numRef>
              <c:f>Tabla12.CNABovino!$B$9:$B$21</c:f>
              <c:numCache>
                <c:formatCode>0_ ;[Red]\-0\ </c:formatCode>
                <c:ptCount val="13"/>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numCache>
            </c:numRef>
          </c:xVal>
          <c:yVal>
            <c:numRef>
              <c:f>Tabla12.CNABovino!$C$9:$C$21</c:f>
              <c:numCache>
                <c:formatCode>#,##0_ ;[Red]\-#,##0\ </c:formatCode>
                <c:ptCount val="13"/>
                <c:pt idx="0">
                  <c:v>1065070</c:v>
                </c:pt>
                <c:pt idx="1">
                  <c:v>979574</c:v>
                </c:pt>
                <c:pt idx="2">
                  <c:v>1113919</c:v>
                </c:pt>
                <c:pt idx="3">
                  <c:v>1188687</c:v>
                </c:pt>
                <c:pt idx="4">
                  <c:v>1247195</c:v>
                </c:pt>
                <c:pt idx="5">
                  <c:v>1256478</c:v>
                </c:pt>
                <c:pt idx="6">
                  <c:v>1364711</c:v>
                </c:pt>
                <c:pt idx="7">
                  <c:v>1412336</c:v>
                </c:pt>
                <c:pt idx="8">
                  <c:v>1329947</c:v>
                </c:pt>
                <c:pt idx="9">
                  <c:v>1340071</c:v>
                </c:pt>
                <c:pt idx="10">
                  <c:v>1379768</c:v>
                </c:pt>
                <c:pt idx="11">
                  <c:v>1399629</c:v>
                </c:pt>
                <c:pt idx="12">
                  <c:v>1408618</c:v>
                </c:pt>
              </c:numCache>
            </c:numRef>
          </c:yVal>
          <c:smooth val="1"/>
        </c:ser>
        <c:ser>
          <c:idx val="1"/>
          <c:order val="1"/>
          <c:tx>
            <c:strRef>
              <c:f>Tabla12.CNABovino!$I$6</c:f>
              <c:strCache>
                <c:ptCount val="1"/>
                <c:pt idx="0">
                  <c:v>Consumo</c:v>
                </c:pt>
              </c:strCache>
            </c:strRef>
          </c:tx>
          <c:marker>
            <c:symbol val="none"/>
          </c:marker>
          <c:xVal>
            <c:numRef>
              <c:f>Tabla12.CNABovino!$B$9:$B$21</c:f>
              <c:numCache>
                <c:formatCode>0_ ;[Red]\-0\ </c:formatCode>
                <c:ptCount val="13"/>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numCache>
            </c:numRef>
          </c:xVal>
          <c:yVal>
            <c:numRef>
              <c:f>Tabla12.CNABovino!$I$9:$I$21</c:f>
              <c:numCache>
                <c:formatCode>#,##0_ ;[Red]\-#,##0\ </c:formatCode>
                <c:ptCount val="13"/>
                <c:pt idx="0">
                  <c:v>1040137</c:v>
                </c:pt>
                <c:pt idx="1">
                  <c:v>929936</c:v>
                </c:pt>
                <c:pt idx="2">
                  <c:v>1030314</c:v>
                </c:pt>
                <c:pt idx="3">
                  <c:v>1228033</c:v>
                </c:pt>
                <c:pt idx="4">
                  <c:v>1339608</c:v>
                </c:pt>
                <c:pt idx="5">
                  <c:v>1230239</c:v>
                </c:pt>
                <c:pt idx="6">
                  <c:v>1400213</c:v>
                </c:pt>
                <c:pt idx="7">
                  <c:v>1287132</c:v>
                </c:pt>
                <c:pt idx="8">
                  <c:v>1392983</c:v>
                </c:pt>
                <c:pt idx="9">
                  <c:v>1470794</c:v>
                </c:pt>
                <c:pt idx="10">
                  <c:v>1570675</c:v>
                </c:pt>
                <c:pt idx="11">
                  <c:v>1582893</c:v>
                </c:pt>
                <c:pt idx="12">
                  <c:v>1622993</c:v>
                </c:pt>
              </c:numCache>
            </c:numRef>
          </c:yVal>
          <c:smooth val="1"/>
        </c:ser>
        <c:dLbls>
          <c:showLegendKey val="0"/>
          <c:showVal val="0"/>
          <c:showCatName val="0"/>
          <c:showSerName val="0"/>
          <c:showPercent val="0"/>
          <c:showBubbleSize val="0"/>
        </c:dLbls>
        <c:axId val="82891264"/>
        <c:axId val="82892992"/>
      </c:scatterChart>
      <c:valAx>
        <c:axId val="82891264"/>
        <c:scaling>
          <c:orientation val="minMax"/>
        </c:scaling>
        <c:delete val="0"/>
        <c:axPos val="b"/>
        <c:majorGridlines/>
        <c:title>
          <c:tx>
            <c:rich>
              <a:bodyPr/>
              <a:lstStyle/>
              <a:p>
                <a:pPr>
                  <a:defRPr/>
                </a:pPr>
                <a:r>
                  <a:rPr lang="es-MX"/>
                  <a:t>Año</a:t>
                </a:r>
              </a:p>
            </c:rich>
          </c:tx>
          <c:overlay val="0"/>
        </c:title>
        <c:numFmt formatCode="0_ ;[Red]\-0\ " sourceLinked="1"/>
        <c:majorTickMark val="none"/>
        <c:minorTickMark val="none"/>
        <c:tickLblPos val="nextTo"/>
        <c:crossAx val="82892992"/>
        <c:crosses val="autoZero"/>
        <c:crossBetween val="midCat"/>
      </c:valAx>
      <c:valAx>
        <c:axId val="82892992"/>
        <c:scaling>
          <c:orientation val="minMax"/>
          <c:max val="1700000"/>
          <c:min val="800000"/>
        </c:scaling>
        <c:delete val="0"/>
        <c:axPos val="l"/>
        <c:majorGridlines/>
        <c:title>
          <c:tx>
            <c:rich>
              <a:bodyPr/>
              <a:lstStyle/>
              <a:p>
                <a:pPr>
                  <a:defRPr/>
                </a:pPr>
                <a:r>
                  <a:rPr lang="es-MX"/>
                  <a:t>Toneladas</a:t>
                </a:r>
              </a:p>
            </c:rich>
          </c:tx>
          <c:overlay val="0"/>
        </c:title>
        <c:numFmt formatCode="#,##0_ ;[Red]\-#,##0\ " sourceLinked="1"/>
        <c:majorTickMark val="none"/>
        <c:minorTickMark val="none"/>
        <c:tickLblPos val="nextTo"/>
        <c:crossAx val="8289126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Gráfico 2. Exportaciones</a:t>
            </a:r>
            <a:r>
              <a:rPr lang="es-MX" baseline="0"/>
              <a:t> e importaciones de carne en canal de bovino (1980-2000)</a:t>
            </a:r>
            <a:endParaRPr lang="es-MX"/>
          </a:p>
        </c:rich>
      </c:tx>
      <c:overlay val="0"/>
    </c:title>
    <c:autoTitleDeleted val="0"/>
    <c:plotArea>
      <c:layout/>
      <c:scatterChart>
        <c:scatterStyle val="smoothMarker"/>
        <c:varyColors val="0"/>
        <c:ser>
          <c:idx val="0"/>
          <c:order val="0"/>
          <c:tx>
            <c:strRef>
              <c:f>Tabla12.CNABovino!$E$6</c:f>
              <c:strCache>
                <c:ptCount val="1"/>
                <c:pt idx="0">
                  <c:v>Importación</c:v>
                </c:pt>
              </c:strCache>
            </c:strRef>
          </c:tx>
          <c:marker>
            <c:symbol val="none"/>
          </c:marker>
          <c:xVal>
            <c:numRef>
              <c:f>Tabla12.CNABovino!$B$9:$B$21</c:f>
              <c:numCache>
                <c:formatCode>0_ ;[Red]\-0\ </c:formatCode>
                <c:ptCount val="13"/>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numCache>
            </c:numRef>
          </c:xVal>
          <c:yVal>
            <c:numRef>
              <c:f>Tabla12.CNABovino!$E$9:$E$21</c:f>
              <c:numCache>
                <c:formatCode>#,##0_ ;[Red]\-#,##0\ </c:formatCode>
                <c:ptCount val="13"/>
                <c:pt idx="0">
                  <c:v>1157</c:v>
                </c:pt>
                <c:pt idx="1">
                  <c:v>10513</c:v>
                </c:pt>
                <c:pt idx="2">
                  <c:v>50819</c:v>
                </c:pt>
                <c:pt idx="3">
                  <c:v>163073</c:v>
                </c:pt>
                <c:pt idx="4">
                  <c:v>196754</c:v>
                </c:pt>
                <c:pt idx="5">
                  <c:v>103385</c:v>
                </c:pt>
                <c:pt idx="6">
                  <c:v>140203</c:v>
                </c:pt>
                <c:pt idx="7">
                  <c:v>41784</c:v>
                </c:pt>
                <c:pt idx="8">
                  <c:v>110402</c:v>
                </c:pt>
                <c:pt idx="9">
                  <c:v>197558</c:v>
                </c:pt>
                <c:pt idx="10">
                  <c:v>262996</c:v>
                </c:pt>
                <c:pt idx="11">
                  <c:v>287769</c:v>
                </c:pt>
                <c:pt idx="12">
                  <c:v>337986</c:v>
                </c:pt>
              </c:numCache>
            </c:numRef>
          </c:yVal>
          <c:smooth val="1"/>
        </c:ser>
        <c:ser>
          <c:idx val="1"/>
          <c:order val="1"/>
          <c:tx>
            <c:strRef>
              <c:f>Tabla12.CNABovino!$G$6</c:f>
              <c:strCache>
                <c:ptCount val="1"/>
                <c:pt idx="0">
                  <c:v>Exportación</c:v>
                </c:pt>
              </c:strCache>
            </c:strRef>
          </c:tx>
          <c:marker>
            <c:symbol val="none"/>
          </c:marker>
          <c:xVal>
            <c:numRef>
              <c:f>Tabla12.CNABovino!$B$9:$B$21</c:f>
              <c:numCache>
                <c:formatCode>0_ ;[Red]\-0\ </c:formatCode>
                <c:ptCount val="13"/>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numCache>
            </c:numRef>
          </c:xVal>
          <c:yVal>
            <c:numRef>
              <c:f>Tabla12.CNABovino!$G$9:$G$21</c:f>
              <c:numCache>
                <c:formatCode>#,##0_ ;[Red]\-#,##0\ </c:formatCode>
                <c:ptCount val="13"/>
                <c:pt idx="0">
                  <c:v>26090</c:v>
                </c:pt>
                <c:pt idx="1">
                  <c:v>60151</c:v>
                </c:pt>
                <c:pt idx="2">
                  <c:v>134424</c:v>
                </c:pt>
                <c:pt idx="3">
                  <c:v>123727</c:v>
                </c:pt>
                <c:pt idx="4">
                  <c:v>104341</c:v>
                </c:pt>
                <c:pt idx="5">
                  <c:v>129624</c:v>
                </c:pt>
                <c:pt idx="6">
                  <c:v>104701</c:v>
                </c:pt>
                <c:pt idx="7">
                  <c:v>166988</c:v>
                </c:pt>
                <c:pt idx="8">
                  <c:v>47366</c:v>
                </c:pt>
                <c:pt idx="9">
                  <c:v>66835</c:v>
                </c:pt>
                <c:pt idx="10">
                  <c:v>72089</c:v>
                </c:pt>
                <c:pt idx="11">
                  <c:v>104505</c:v>
                </c:pt>
                <c:pt idx="12">
                  <c:v>123611</c:v>
                </c:pt>
              </c:numCache>
            </c:numRef>
          </c:yVal>
          <c:smooth val="1"/>
        </c:ser>
        <c:dLbls>
          <c:showLegendKey val="0"/>
          <c:showVal val="0"/>
          <c:showCatName val="0"/>
          <c:showSerName val="0"/>
          <c:showPercent val="0"/>
          <c:showBubbleSize val="0"/>
        </c:dLbls>
        <c:axId val="128628352"/>
        <c:axId val="128630080"/>
      </c:scatterChart>
      <c:valAx>
        <c:axId val="128628352"/>
        <c:scaling>
          <c:orientation val="minMax"/>
        </c:scaling>
        <c:delete val="0"/>
        <c:axPos val="b"/>
        <c:title>
          <c:tx>
            <c:rich>
              <a:bodyPr/>
              <a:lstStyle/>
              <a:p>
                <a:pPr>
                  <a:defRPr/>
                </a:pPr>
                <a:r>
                  <a:rPr lang="es-MX"/>
                  <a:t>Año</a:t>
                </a:r>
              </a:p>
            </c:rich>
          </c:tx>
          <c:overlay val="0"/>
        </c:title>
        <c:numFmt formatCode="0_ ;[Red]\-0\ " sourceLinked="1"/>
        <c:majorTickMark val="none"/>
        <c:minorTickMark val="none"/>
        <c:tickLblPos val="nextTo"/>
        <c:crossAx val="128630080"/>
        <c:crosses val="autoZero"/>
        <c:crossBetween val="midCat"/>
      </c:valAx>
      <c:valAx>
        <c:axId val="128630080"/>
        <c:scaling>
          <c:orientation val="minMax"/>
        </c:scaling>
        <c:delete val="0"/>
        <c:axPos val="l"/>
        <c:majorGridlines/>
        <c:title>
          <c:tx>
            <c:rich>
              <a:bodyPr/>
              <a:lstStyle/>
              <a:p>
                <a:pPr>
                  <a:defRPr/>
                </a:pPr>
                <a:r>
                  <a:rPr lang="es-MX"/>
                  <a:t>Toneladas</a:t>
                </a:r>
              </a:p>
            </c:rich>
          </c:tx>
          <c:overlay val="0"/>
        </c:title>
        <c:numFmt formatCode="#,##0_ ;[Red]\-#,##0\ " sourceLinked="1"/>
        <c:majorTickMark val="none"/>
        <c:minorTickMark val="none"/>
        <c:tickLblPos val="nextTo"/>
        <c:crossAx val="128628352"/>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400"/>
            </a:pPr>
            <a:r>
              <a:rPr lang="en-US" sz="1400"/>
              <a:t>Gráfico 3. Balanza Comercial de Carne en Canal de Bovino (1980-2000)</a:t>
            </a:r>
          </a:p>
        </c:rich>
      </c:tx>
      <c:overlay val="0"/>
    </c:title>
    <c:autoTitleDeleted val="0"/>
    <c:plotArea>
      <c:layout/>
      <c:scatterChart>
        <c:scatterStyle val="smoothMarker"/>
        <c:varyColors val="0"/>
        <c:ser>
          <c:idx val="0"/>
          <c:order val="0"/>
          <c:tx>
            <c:strRef>
              <c:f>Tabla12.CNABovino!$B$29</c:f>
              <c:strCache>
                <c:ptCount val="1"/>
                <c:pt idx="0">
                  <c:v>Balanza Comercial Carne Canal Bovino (toneladas)</c:v>
                </c:pt>
              </c:strCache>
            </c:strRef>
          </c:tx>
          <c:marker>
            <c:symbol val="none"/>
          </c:marker>
          <c:xVal>
            <c:numRef>
              <c:f>Tabla12.CNABovino!$B$33:$B$45</c:f>
              <c:numCache>
                <c:formatCode>0_ ;[Red]\-0\ </c:formatCode>
                <c:ptCount val="13"/>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numCache>
            </c:numRef>
          </c:xVal>
          <c:yVal>
            <c:numRef>
              <c:f>Tabla12.CNABovino!$C$33:$C$45</c:f>
              <c:numCache>
                <c:formatCode>#,##0_ ;[Red]\-#,##0\ </c:formatCode>
                <c:ptCount val="13"/>
                <c:pt idx="0">
                  <c:v>24933</c:v>
                </c:pt>
                <c:pt idx="1">
                  <c:v>49638</c:v>
                </c:pt>
                <c:pt idx="2">
                  <c:v>83605</c:v>
                </c:pt>
                <c:pt idx="3">
                  <c:v>-39346</c:v>
                </c:pt>
                <c:pt idx="4">
                  <c:v>-92413</c:v>
                </c:pt>
                <c:pt idx="5">
                  <c:v>26239</c:v>
                </c:pt>
                <c:pt idx="6">
                  <c:v>-35502</c:v>
                </c:pt>
                <c:pt idx="7">
                  <c:v>125204</c:v>
                </c:pt>
                <c:pt idx="8">
                  <c:v>-63036</c:v>
                </c:pt>
                <c:pt idx="9">
                  <c:v>-130723</c:v>
                </c:pt>
                <c:pt idx="10">
                  <c:v>-190907</c:v>
                </c:pt>
                <c:pt idx="11">
                  <c:v>-183264</c:v>
                </c:pt>
                <c:pt idx="12">
                  <c:v>-214375</c:v>
                </c:pt>
              </c:numCache>
            </c:numRef>
          </c:yVal>
          <c:smooth val="1"/>
        </c:ser>
        <c:dLbls>
          <c:showLegendKey val="0"/>
          <c:showVal val="0"/>
          <c:showCatName val="0"/>
          <c:showSerName val="0"/>
          <c:showPercent val="0"/>
          <c:showBubbleSize val="0"/>
        </c:dLbls>
        <c:axId val="149210240"/>
        <c:axId val="149210816"/>
      </c:scatterChart>
      <c:valAx>
        <c:axId val="149210240"/>
        <c:scaling>
          <c:orientation val="minMax"/>
        </c:scaling>
        <c:delete val="0"/>
        <c:axPos val="b"/>
        <c:title>
          <c:tx>
            <c:rich>
              <a:bodyPr/>
              <a:lstStyle/>
              <a:p>
                <a:pPr>
                  <a:defRPr/>
                </a:pPr>
                <a:r>
                  <a:rPr lang="es-MX"/>
                  <a:t>Año</a:t>
                </a:r>
              </a:p>
            </c:rich>
          </c:tx>
          <c:overlay val="0"/>
        </c:title>
        <c:numFmt formatCode="0_ ;[Red]\-0\ " sourceLinked="1"/>
        <c:majorTickMark val="none"/>
        <c:minorTickMark val="none"/>
        <c:tickLblPos val="nextTo"/>
        <c:crossAx val="149210816"/>
        <c:crosses val="autoZero"/>
        <c:crossBetween val="midCat"/>
      </c:valAx>
      <c:valAx>
        <c:axId val="149210816"/>
        <c:scaling>
          <c:orientation val="minMax"/>
        </c:scaling>
        <c:delete val="0"/>
        <c:axPos val="l"/>
        <c:majorGridlines/>
        <c:title>
          <c:tx>
            <c:rich>
              <a:bodyPr/>
              <a:lstStyle/>
              <a:p>
                <a:pPr>
                  <a:defRPr/>
                </a:pPr>
                <a:r>
                  <a:rPr lang="es-MX"/>
                  <a:t>TToneladas</a:t>
                </a:r>
              </a:p>
            </c:rich>
          </c:tx>
          <c:overlay val="0"/>
        </c:title>
        <c:numFmt formatCode="#,##0_ ;[Red]\-#,##0\ " sourceLinked="1"/>
        <c:majorTickMark val="none"/>
        <c:minorTickMark val="none"/>
        <c:tickLblPos val="nextTo"/>
        <c:crossAx val="1492102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2207</Words>
  <Characters>12143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dc:creator>
  <cp:lastModifiedBy>RODOLFO</cp:lastModifiedBy>
  <cp:revision>8</cp:revision>
  <dcterms:created xsi:type="dcterms:W3CDTF">2015-03-23T01:26:00Z</dcterms:created>
  <dcterms:modified xsi:type="dcterms:W3CDTF">2015-04-03T03:19:00Z</dcterms:modified>
</cp:coreProperties>
</file>