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4A" w:rsidRDefault="006C074A" w:rsidP="006C074A">
      <w:pPr>
        <w:jc w:val="center"/>
        <w:rPr>
          <w:rFonts w:ascii="Arial" w:hAnsi="Arial" w:cs="Arial"/>
          <w:b/>
          <w:bCs/>
          <w:caps/>
          <w:color w:val="000000"/>
          <w:sz w:val="24"/>
          <w:szCs w:val="24"/>
        </w:rPr>
      </w:pPr>
      <w:r w:rsidRPr="00A84BD8">
        <w:rPr>
          <w:rFonts w:ascii="Arial" w:hAnsi="Arial" w:cs="Arial"/>
          <w:b/>
          <w:bCs/>
          <w:caps/>
          <w:color w:val="000000"/>
          <w:sz w:val="24"/>
          <w:szCs w:val="24"/>
        </w:rPr>
        <w:t xml:space="preserve">Fotocatalisis heterogénea para el tratamiento de aguas residuales modificando la banda de absorción de los fotocatalizadores por impurificación con metales </w:t>
      </w:r>
    </w:p>
    <w:p w:rsidR="006C074A" w:rsidRPr="003723FD" w:rsidRDefault="006C074A" w:rsidP="006C074A">
      <w:pPr>
        <w:jc w:val="center"/>
        <w:rPr>
          <w:rFonts w:ascii="Arial" w:hAnsi="Arial" w:cs="Arial"/>
          <w:bCs/>
          <w:color w:val="000000"/>
          <w:sz w:val="24"/>
          <w:szCs w:val="24"/>
        </w:rPr>
      </w:pPr>
      <w:r w:rsidRPr="003723FD">
        <w:rPr>
          <w:rFonts w:ascii="Arial" w:hAnsi="Arial" w:cs="Arial"/>
          <w:bCs/>
          <w:caps/>
          <w:color w:val="000000"/>
          <w:sz w:val="24"/>
          <w:szCs w:val="24"/>
        </w:rPr>
        <w:t>M. Villicaña-Mendez.  Facultad de Ingeniería Química, UMSNH. E-</w:t>
      </w:r>
      <w:r w:rsidRPr="003723FD">
        <w:rPr>
          <w:rFonts w:ascii="Arial" w:hAnsi="Arial" w:cs="Arial"/>
          <w:bCs/>
          <w:color w:val="000000"/>
          <w:sz w:val="24"/>
          <w:szCs w:val="24"/>
        </w:rPr>
        <w:t xml:space="preserve">Mail </w:t>
      </w:r>
      <w:hyperlink r:id="rId8" w:history="1">
        <w:r w:rsidRPr="003723FD">
          <w:rPr>
            <w:rStyle w:val="Hipervnculo"/>
            <w:rFonts w:ascii="Arial" w:hAnsi="Arial" w:cs="Arial"/>
            <w:bCs/>
            <w:sz w:val="24"/>
            <w:szCs w:val="24"/>
          </w:rPr>
          <w:t>vimadinmx@yahoo.com.mx</w:t>
        </w:r>
      </w:hyperlink>
    </w:p>
    <w:p w:rsidR="006C074A" w:rsidRPr="003723FD" w:rsidRDefault="006C074A" w:rsidP="006C074A">
      <w:pPr>
        <w:jc w:val="center"/>
        <w:rPr>
          <w:rFonts w:ascii="Arial" w:hAnsi="Arial" w:cs="Arial"/>
          <w:bCs/>
          <w:caps/>
          <w:color w:val="000000"/>
          <w:sz w:val="24"/>
          <w:szCs w:val="24"/>
        </w:rPr>
      </w:pPr>
      <w:r w:rsidRPr="003723FD">
        <w:rPr>
          <w:rFonts w:ascii="Arial" w:hAnsi="Arial" w:cs="Arial"/>
          <w:bCs/>
          <w:caps/>
          <w:color w:val="000000"/>
          <w:sz w:val="24"/>
          <w:szCs w:val="24"/>
        </w:rPr>
        <w:t>M. G. Garnica-Romo. facultad de ingenieria civil, umsnh</w:t>
      </w:r>
    </w:p>
    <w:p w:rsidR="006C074A" w:rsidRPr="003723FD" w:rsidRDefault="006C074A" w:rsidP="006C074A">
      <w:pPr>
        <w:jc w:val="center"/>
        <w:rPr>
          <w:rFonts w:ascii="Arial" w:hAnsi="Arial" w:cs="Arial"/>
          <w:bCs/>
          <w:color w:val="000000"/>
          <w:sz w:val="24"/>
          <w:szCs w:val="24"/>
        </w:rPr>
      </w:pPr>
      <w:r w:rsidRPr="003723FD">
        <w:rPr>
          <w:rFonts w:ascii="Arial" w:hAnsi="Arial" w:cs="Arial"/>
          <w:bCs/>
          <w:caps/>
          <w:color w:val="000000"/>
          <w:sz w:val="24"/>
          <w:szCs w:val="24"/>
        </w:rPr>
        <w:t>E-</w:t>
      </w:r>
      <w:r w:rsidRPr="003723FD">
        <w:rPr>
          <w:rFonts w:ascii="Arial" w:hAnsi="Arial" w:cs="Arial"/>
          <w:bCs/>
          <w:color w:val="000000"/>
          <w:sz w:val="24"/>
          <w:szCs w:val="24"/>
        </w:rPr>
        <w:t xml:space="preserve">Mail </w:t>
      </w:r>
      <w:hyperlink r:id="rId9" w:history="1">
        <w:r w:rsidRPr="003723FD">
          <w:rPr>
            <w:rStyle w:val="Hipervnculo"/>
            <w:rFonts w:ascii="Arial" w:hAnsi="Arial" w:cs="Arial"/>
            <w:bCs/>
            <w:sz w:val="24"/>
            <w:szCs w:val="24"/>
          </w:rPr>
          <w:t>gromar05@hotmail.com</w:t>
        </w:r>
      </w:hyperlink>
    </w:p>
    <w:p w:rsidR="006C074A" w:rsidRPr="003723FD" w:rsidRDefault="006C074A" w:rsidP="006C074A">
      <w:pPr>
        <w:jc w:val="center"/>
        <w:rPr>
          <w:rFonts w:ascii="Arial" w:hAnsi="Arial" w:cs="Arial"/>
          <w:bCs/>
          <w:caps/>
          <w:color w:val="000000"/>
          <w:sz w:val="24"/>
          <w:szCs w:val="24"/>
        </w:rPr>
      </w:pPr>
      <w:r w:rsidRPr="003723FD">
        <w:rPr>
          <w:rFonts w:ascii="Arial" w:hAnsi="Arial" w:cs="Arial"/>
          <w:bCs/>
          <w:caps/>
          <w:color w:val="000000"/>
          <w:sz w:val="24"/>
          <w:szCs w:val="24"/>
        </w:rPr>
        <w:t>L.V. Piña-Morales. Facultad de Ingeniería Química, UMSNH</w:t>
      </w:r>
    </w:p>
    <w:p w:rsidR="006C074A" w:rsidRPr="003723FD" w:rsidRDefault="006C074A" w:rsidP="006C074A">
      <w:pPr>
        <w:jc w:val="center"/>
        <w:rPr>
          <w:rFonts w:ascii="Arial" w:hAnsi="Arial" w:cs="Arial"/>
          <w:bCs/>
          <w:color w:val="000000"/>
          <w:sz w:val="24"/>
          <w:szCs w:val="24"/>
        </w:rPr>
      </w:pPr>
      <w:r w:rsidRPr="003723FD">
        <w:rPr>
          <w:rFonts w:ascii="Arial" w:hAnsi="Arial" w:cs="Arial"/>
          <w:bCs/>
          <w:caps/>
          <w:color w:val="000000"/>
          <w:sz w:val="24"/>
          <w:szCs w:val="24"/>
        </w:rPr>
        <w:t>E-</w:t>
      </w:r>
      <w:r w:rsidRPr="003723FD">
        <w:rPr>
          <w:rFonts w:ascii="Arial" w:hAnsi="Arial" w:cs="Arial"/>
          <w:bCs/>
          <w:color w:val="000000"/>
          <w:sz w:val="24"/>
          <w:szCs w:val="24"/>
        </w:rPr>
        <w:t xml:space="preserve">Mail </w:t>
      </w:r>
      <w:hyperlink r:id="rId10" w:history="1">
        <w:r w:rsidRPr="003723FD">
          <w:rPr>
            <w:rStyle w:val="Hipervnculo"/>
            <w:rFonts w:ascii="Arial" w:hAnsi="Arial" w:cs="Arial"/>
            <w:bCs/>
            <w:sz w:val="24"/>
            <w:szCs w:val="24"/>
          </w:rPr>
          <w:t>vero_jarm3@hotmail.com</w:t>
        </w:r>
      </w:hyperlink>
    </w:p>
    <w:p w:rsidR="006C074A" w:rsidRPr="00A84BD8" w:rsidRDefault="006C074A" w:rsidP="006C074A">
      <w:pPr>
        <w:jc w:val="both"/>
        <w:rPr>
          <w:rFonts w:ascii="Arial" w:hAnsi="Arial" w:cs="Arial"/>
          <w:sz w:val="24"/>
          <w:szCs w:val="24"/>
        </w:rPr>
      </w:pPr>
    </w:p>
    <w:p w:rsidR="006C074A" w:rsidRDefault="006C074A" w:rsidP="006C074A">
      <w:pPr>
        <w:jc w:val="both"/>
        <w:rPr>
          <w:rFonts w:ascii="Arial" w:hAnsi="Arial" w:cs="Arial"/>
          <w:color w:val="000000"/>
          <w:sz w:val="24"/>
          <w:szCs w:val="24"/>
          <w:shd w:val="clear" w:color="auto" w:fill="FFFFFF"/>
        </w:rPr>
      </w:pPr>
      <w:r w:rsidRPr="005C7CD2">
        <w:rPr>
          <w:rFonts w:ascii="Arial" w:hAnsi="Arial" w:cs="Arial"/>
          <w:color w:val="000000"/>
          <w:sz w:val="24"/>
          <w:szCs w:val="24"/>
          <w:shd w:val="clear" w:color="auto" w:fill="FFFFFF"/>
        </w:rPr>
        <w:t>El TiO</w:t>
      </w:r>
      <w:r w:rsidRPr="005C7CD2">
        <w:rPr>
          <w:rFonts w:ascii="Arial" w:hAnsi="Arial" w:cs="Arial"/>
          <w:color w:val="000000"/>
          <w:sz w:val="24"/>
          <w:szCs w:val="24"/>
          <w:shd w:val="clear" w:color="auto" w:fill="FFFFFF"/>
          <w:vertAlign w:val="subscript"/>
        </w:rPr>
        <w:t>2</w:t>
      </w:r>
      <w:r w:rsidRPr="005C7CD2">
        <w:rPr>
          <w:rStyle w:val="apple-converted-space"/>
          <w:rFonts w:ascii="Arial" w:hAnsi="Arial" w:cs="Arial"/>
          <w:color w:val="000000"/>
          <w:sz w:val="24"/>
          <w:szCs w:val="24"/>
          <w:shd w:val="clear" w:color="auto" w:fill="FFFFFF"/>
        </w:rPr>
        <w:t> </w:t>
      </w:r>
      <w:r w:rsidRPr="005C7CD2">
        <w:rPr>
          <w:rFonts w:ascii="Arial" w:hAnsi="Arial" w:cs="Arial"/>
          <w:color w:val="000000"/>
          <w:sz w:val="24"/>
          <w:szCs w:val="24"/>
          <w:shd w:val="clear" w:color="auto" w:fill="FFFFFF"/>
        </w:rPr>
        <w:t>es un fotocatalizador usado en fotocatálisis heterogénea, tiene tres fases cristalinas: anatasa, rutilo y brookita.  La irradiación en la superficie del TiO</w:t>
      </w:r>
      <w:r w:rsidRPr="005C7CD2">
        <w:rPr>
          <w:rFonts w:ascii="Arial" w:hAnsi="Arial" w:cs="Arial"/>
          <w:color w:val="000000"/>
          <w:sz w:val="24"/>
          <w:szCs w:val="24"/>
          <w:shd w:val="clear" w:color="auto" w:fill="FFFFFF"/>
          <w:vertAlign w:val="subscript"/>
        </w:rPr>
        <w:t>2</w:t>
      </w:r>
      <w:r w:rsidRPr="005C7CD2">
        <w:rPr>
          <w:rStyle w:val="apple-converted-space"/>
          <w:rFonts w:ascii="Arial" w:hAnsi="Arial" w:cs="Arial"/>
          <w:color w:val="000000"/>
          <w:sz w:val="24"/>
          <w:szCs w:val="24"/>
          <w:shd w:val="clear" w:color="auto" w:fill="FFFFFF"/>
        </w:rPr>
        <w:t> </w:t>
      </w:r>
      <w:r w:rsidRPr="005C7CD2">
        <w:rPr>
          <w:rFonts w:ascii="Arial" w:hAnsi="Arial" w:cs="Arial"/>
          <w:color w:val="000000"/>
          <w:sz w:val="24"/>
          <w:szCs w:val="24"/>
          <w:shd w:val="clear" w:color="auto" w:fill="FFFFFF"/>
        </w:rPr>
        <w:t>con una cantidad de energía mayor o igual a su “bandgap” o banda de activación, varía para las formas alotrópicas de éste (anatasa 3.2eV y rutilo 3.0eV), fotoexcita un electrón de la banda de valencia (BV) hacia la banda de conducción (BC) vacía, el cual deja tras de sí un hueco y con ello produce un par electrón-hueco en el semiconductor; este par es capaz de iniciar las reacciones de oxidación-reducción en la interfase del mismo.  La oxidación de agua hecha por los huecos produce radicales hidroxilo y otras especies de radicales, responsables por la amplia gama de actividades del catalizador hacia contaminantes como: grupos aromáticos, hidrocarburos halogenados, pesticidas, compuestos inorgánicos, etc; tenie además la habilidad para inactivar microrganismos y toxinas como coliformes y virus. El dióxido de titanio posee una amplia brecha en su banda de activación (3.2eV), es activado con la energía radiante de la región de luz UV, menor del 5% del espectro energético solar, mientras que la región de luz visible representa cerca del 45% del espectro.  El objetivo del</w:t>
      </w:r>
      <w:r w:rsidRPr="005C7CD2">
        <w:rPr>
          <w:rStyle w:val="apple-converted-space"/>
          <w:rFonts w:ascii="Arial" w:hAnsi="Arial" w:cs="Arial"/>
          <w:b/>
          <w:bCs/>
          <w:color w:val="000000"/>
          <w:sz w:val="24"/>
          <w:szCs w:val="24"/>
          <w:shd w:val="clear" w:color="auto" w:fill="FFFFFF"/>
        </w:rPr>
        <w:t> </w:t>
      </w:r>
      <w:r w:rsidRPr="005C7CD2">
        <w:rPr>
          <w:rStyle w:val="Textoennegrita"/>
          <w:rFonts w:ascii="Arial" w:hAnsi="Arial" w:cs="Arial"/>
          <w:color w:val="000000"/>
          <w:sz w:val="24"/>
          <w:szCs w:val="24"/>
          <w:shd w:val="clear" w:color="auto" w:fill="FFFFFF"/>
        </w:rPr>
        <w:t>presente trabajo  busca</w:t>
      </w:r>
      <w:r w:rsidRPr="005C7CD2">
        <w:rPr>
          <w:rStyle w:val="apple-converted-space"/>
          <w:rFonts w:ascii="Arial" w:hAnsi="Arial" w:cs="Arial"/>
          <w:b/>
          <w:bCs/>
          <w:color w:val="000000"/>
          <w:sz w:val="24"/>
          <w:szCs w:val="24"/>
          <w:shd w:val="clear" w:color="auto" w:fill="FFFFFF"/>
        </w:rPr>
        <w:t> </w:t>
      </w:r>
      <w:r w:rsidRPr="005C7CD2">
        <w:rPr>
          <w:rStyle w:val="Textoennegrita"/>
          <w:rFonts w:ascii="Arial" w:hAnsi="Arial" w:cs="Arial"/>
          <w:color w:val="000000"/>
          <w:sz w:val="24"/>
          <w:szCs w:val="24"/>
          <w:shd w:val="clear" w:color="auto" w:fill="FFFFFF"/>
        </w:rPr>
        <w:t>cambiar el “bandgap” del catalizador y</w:t>
      </w:r>
      <w:r>
        <w:rPr>
          <w:rStyle w:val="Textoennegrita"/>
          <w:rFonts w:ascii="Arial" w:hAnsi="Arial" w:cs="Arial"/>
          <w:color w:val="000000"/>
          <w:sz w:val="24"/>
          <w:szCs w:val="24"/>
          <w:shd w:val="clear" w:color="auto" w:fill="FFFFFF"/>
        </w:rPr>
        <w:t xml:space="preserve"> </w:t>
      </w:r>
      <w:r w:rsidRPr="005C7CD2">
        <w:rPr>
          <w:rStyle w:val="Textoennegrita"/>
          <w:rFonts w:ascii="Arial" w:hAnsi="Arial" w:cs="Arial"/>
          <w:color w:val="000000"/>
          <w:sz w:val="24"/>
          <w:szCs w:val="24"/>
          <w:shd w:val="clear" w:color="auto" w:fill="FFFFFF"/>
        </w:rPr>
        <w:t>así mejorar la sensibilidad para la activación del material en la región de luz visible.</w:t>
      </w:r>
      <w:r w:rsidRPr="005C7CD2">
        <w:rPr>
          <w:rFonts w:ascii="Arial" w:hAnsi="Arial" w:cs="Arial"/>
          <w:color w:val="000000"/>
          <w:sz w:val="24"/>
          <w:szCs w:val="24"/>
          <w:shd w:val="clear" w:color="auto" w:fill="FFFFFF"/>
        </w:rPr>
        <w:t xml:space="preserve">  Se utilizaron sales de níquel,  cobre y fierro para impurificar al dióxido de titanio, los cuales adsorben  luz del espectro electromagnético visible. </w:t>
      </w:r>
      <w:r>
        <w:rPr>
          <w:rFonts w:ascii="Arial" w:hAnsi="Arial" w:cs="Arial"/>
          <w:color w:val="000000"/>
          <w:sz w:val="24"/>
          <w:szCs w:val="24"/>
          <w:shd w:val="clear" w:color="auto" w:fill="FFFFFF"/>
        </w:rPr>
        <w:t>El</w:t>
      </w:r>
      <w:r w:rsidRPr="005C7CD2">
        <w:rPr>
          <w:rFonts w:ascii="Arial" w:hAnsi="Arial" w:cs="Arial"/>
          <w:color w:val="000000"/>
          <w:sz w:val="24"/>
          <w:szCs w:val="24"/>
          <w:shd w:val="clear" w:color="auto" w:fill="FFFFFF"/>
        </w:rPr>
        <w:t xml:space="preserve"> “Band-gap” obtenido </w:t>
      </w:r>
      <w:r>
        <w:rPr>
          <w:rFonts w:ascii="Arial" w:hAnsi="Arial" w:cs="Arial"/>
          <w:color w:val="000000"/>
          <w:sz w:val="24"/>
          <w:szCs w:val="24"/>
          <w:shd w:val="clear" w:color="auto" w:fill="FFFFFF"/>
        </w:rPr>
        <w:t xml:space="preserve"> esta </w:t>
      </w:r>
      <w:r w:rsidRPr="005C7CD2">
        <w:rPr>
          <w:rFonts w:ascii="Arial" w:hAnsi="Arial" w:cs="Arial"/>
          <w:color w:val="000000"/>
          <w:sz w:val="24"/>
          <w:szCs w:val="24"/>
          <w:shd w:val="clear" w:color="auto" w:fill="FFFFFF"/>
        </w:rPr>
        <w:t>entre 3.19-2.90 eV para algunas concentraciones. El catalizador producido es utilizado en la degradación fotocatalítica del colorante azul ácido 9 (AA9), compuesto nocivo para el medio ambiente presente en las aguas residuales de algunas industrias de textiles.</w:t>
      </w:r>
    </w:p>
    <w:p w:rsidR="006C074A" w:rsidRDefault="006C074A" w:rsidP="006C074A">
      <w:pPr>
        <w:jc w:val="both"/>
        <w:rPr>
          <w:rFonts w:ascii="Arial" w:hAnsi="Arial" w:cs="Arial"/>
          <w:color w:val="000000"/>
          <w:sz w:val="24"/>
          <w:szCs w:val="24"/>
          <w:shd w:val="clear" w:color="auto" w:fill="FFFFFF"/>
        </w:rPr>
      </w:pPr>
    </w:p>
    <w:p w:rsidR="006C074A" w:rsidRDefault="006C074A" w:rsidP="006C074A">
      <w:pPr>
        <w:jc w:val="both"/>
        <w:rPr>
          <w:rFonts w:ascii="Arial" w:hAnsi="Arial" w:cs="Arial"/>
          <w:color w:val="000000"/>
          <w:sz w:val="24"/>
          <w:szCs w:val="24"/>
          <w:shd w:val="clear" w:color="auto" w:fill="FFFFFF"/>
        </w:rPr>
      </w:pPr>
    </w:p>
    <w:p w:rsidR="008B6F4D" w:rsidRPr="006C074A" w:rsidRDefault="008B6F4D" w:rsidP="00ED3891">
      <w:pPr>
        <w:tabs>
          <w:tab w:val="left" w:pos="9180"/>
        </w:tabs>
        <w:spacing w:after="0" w:line="360" w:lineRule="auto"/>
        <w:rPr>
          <w:rFonts w:ascii="Times New Roman" w:eastAsia="Times New Roman" w:hAnsi="Times New Roman" w:cs="Times New Roman"/>
          <w:b/>
          <w:sz w:val="20"/>
          <w:szCs w:val="20"/>
          <w:lang w:eastAsia="es-ES"/>
        </w:rPr>
      </w:pPr>
    </w:p>
    <w:p w:rsidR="00ED3891" w:rsidRPr="006C074A" w:rsidRDefault="00ED3891" w:rsidP="00ED3891">
      <w:pPr>
        <w:tabs>
          <w:tab w:val="left" w:pos="9180"/>
        </w:tabs>
        <w:spacing w:after="0" w:line="360" w:lineRule="auto"/>
        <w:rPr>
          <w:rFonts w:ascii="Arial" w:eastAsia="Times New Roman" w:hAnsi="Arial" w:cs="Arial"/>
          <w:b/>
          <w:i/>
          <w:sz w:val="24"/>
          <w:szCs w:val="24"/>
        </w:rPr>
      </w:pPr>
      <w:r w:rsidRPr="006C074A">
        <w:rPr>
          <w:rFonts w:ascii="Arial" w:eastAsia="Times New Roman" w:hAnsi="Arial" w:cs="Arial"/>
          <w:b/>
          <w:sz w:val="24"/>
          <w:szCs w:val="24"/>
          <w:lang w:val="es-ES" w:eastAsia="es-ES"/>
        </w:rPr>
        <w:t xml:space="preserve">INTRODUCCION  </w:t>
      </w:r>
    </w:p>
    <w:p w:rsidR="00ED3891" w:rsidRPr="006C074A" w:rsidRDefault="00ED3891" w:rsidP="00ED3891">
      <w:pPr>
        <w:autoSpaceDE w:val="0"/>
        <w:autoSpaceDN w:val="0"/>
        <w:adjustRightInd w:val="0"/>
        <w:spacing w:after="80"/>
        <w:jc w:val="both"/>
        <w:rPr>
          <w:rFonts w:ascii="Arial" w:eastAsia="Calibri" w:hAnsi="Arial" w:cs="Arial"/>
          <w:sz w:val="24"/>
          <w:szCs w:val="24"/>
        </w:rPr>
      </w:pPr>
      <w:r w:rsidRPr="006C074A">
        <w:rPr>
          <w:rFonts w:ascii="Arial" w:eastAsia="Calibri" w:hAnsi="Arial" w:cs="Arial"/>
          <w:sz w:val="24"/>
          <w:szCs w:val="24"/>
        </w:rPr>
        <w:t>El color que se presenta en el agua es uno de los indicadores en la apariencia del agua contaminada y la descarga de efluentes con alta concentración de colorantes sintéticos causa gran impacto a los cuerpos acuíferos receptores de éstos.[</w:t>
      </w:r>
      <w:r w:rsidR="005F64C9" w:rsidRPr="006C074A">
        <w:rPr>
          <w:rFonts w:ascii="Arial" w:eastAsia="Calibri" w:hAnsi="Arial" w:cs="Arial"/>
          <w:sz w:val="24"/>
          <w:szCs w:val="24"/>
        </w:rPr>
        <w:t>1-</w:t>
      </w:r>
      <w:r w:rsidRPr="006C074A">
        <w:rPr>
          <w:rFonts w:ascii="Arial" w:eastAsia="Calibri" w:hAnsi="Arial" w:cs="Arial"/>
          <w:sz w:val="24"/>
          <w:szCs w:val="24"/>
        </w:rPr>
        <w:t>4].  Existiendo la necesidad de desarrollar innovaciones tecnológicas para el tratamiento de estas aguas coloreadas que sean aplicables a compuestos orgánicos (colorantes) y sean implementados con alta eficiencia.[5</w:t>
      </w:r>
      <w:r w:rsidR="00B47ABE">
        <w:rPr>
          <w:rFonts w:ascii="Arial" w:eastAsia="Calibri" w:hAnsi="Arial" w:cs="Arial"/>
          <w:sz w:val="24"/>
          <w:szCs w:val="24"/>
        </w:rPr>
        <w:t>-6</w:t>
      </w:r>
      <w:r w:rsidRPr="006C074A">
        <w:rPr>
          <w:rFonts w:ascii="Arial" w:eastAsia="Calibri" w:hAnsi="Arial" w:cs="Arial"/>
          <w:sz w:val="24"/>
          <w:szCs w:val="24"/>
        </w:rPr>
        <w:t>].  La fotocatálisis heterogénea con TiO</w:t>
      </w:r>
      <w:r w:rsidRPr="006C074A">
        <w:rPr>
          <w:rFonts w:ascii="Arial" w:eastAsia="Calibri" w:hAnsi="Arial" w:cs="Arial"/>
          <w:sz w:val="24"/>
          <w:szCs w:val="24"/>
          <w:vertAlign w:val="subscript"/>
        </w:rPr>
        <w:t>2</w:t>
      </w:r>
      <w:r w:rsidRPr="006C074A">
        <w:rPr>
          <w:rFonts w:ascii="Arial" w:eastAsia="Calibri" w:hAnsi="Arial" w:cs="Arial"/>
          <w:sz w:val="24"/>
          <w:szCs w:val="24"/>
        </w:rPr>
        <w:t>, ha sido considerada como una alternativa viable y ambientalmente amigable para la degradación de varios compuestos orgánicos en corrientes acuosas desde hace algunas décadas.[</w:t>
      </w:r>
      <w:r w:rsidR="005F64C9" w:rsidRPr="006C074A">
        <w:rPr>
          <w:rFonts w:ascii="Arial" w:eastAsia="Calibri" w:hAnsi="Arial" w:cs="Arial"/>
          <w:sz w:val="24"/>
          <w:szCs w:val="24"/>
        </w:rPr>
        <w:t>7-9</w:t>
      </w:r>
      <w:r w:rsidRPr="006C074A">
        <w:rPr>
          <w:rFonts w:ascii="Arial" w:eastAsia="Calibri" w:hAnsi="Arial" w:cs="Arial"/>
          <w:sz w:val="24"/>
          <w:szCs w:val="24"/>
        </w:rPr>
        <w:t xml:space="preserve">]. Además,  los fotoreactores que operan mediante la radiación solar se convierten en alternativa para el tratamiento de aguas.  En contraste, cuando se hace uso de una fuente artificial de fotones (lámparas).[5].    Adicionalmente, se considera para la eficiencia del proceso de degradación fotocatalítica </w:t>
      </w:r>
      <w:r w:rsidR="005F64C9" w:rsidRPr="006C074A">
        <w:rPr>
          <w:rFonts w:ascii="Arial" w:eastAsia="Calibri" w:hAnsi="Arial" w:cs="Arial"/>
          <w:sz w:val="24"/>
          <w:szCs w:val="24"/>
        </w:rPr>
        <w:t>la adsorción.</w:t>
      </w:r>
      <w:r w:rsidR="006C074A">
        <w:rPr>
          <w:rFonts w:ascii="Arial" w:eastAsia="Calibri" w:hAnsi="Arial" w:cs="Arial"/>
          <w:sz w:val="24"/>
          <w:szCs w:val="24"/>
        </w:rPr>
        <w:t xml:space="preserve"> </w:t>
      </w:r>
      <w:r w:rsidR="005F64C9" w:rsidRPr="006C074A">
        <w:rPr>
          <w:rFonts w:ascii="Arial" w:eastAsia="Calibri" w:hAnsi="Arial" w:cs="Arial"/>
          <w:sz w:val="24"/>
          <w:szCs w:val="24"/>
        </w:rPr>
        <w:t>[</w:t>
      </w:r>
      <w:r w:rsidRPr="006C074A">
        <w:rPr>
          <w:rFonts w:ascii="Arial" w:eastAsia="Calibri" w:hAnsi="Arial" w:cs="Arial"/>
          <w:sz w:val="24"/>
          <w:szCs w:val="24"/>
        </w:rPr>
        <w:t>8</w:t>
      </w:r>
      <w:r w:rsidR="003A195B">
        <w:rPr>
          <w:rFonts w:ascii="Arial" w:eastAsia="Calibri" w:hAnsi="Arial" w:cs="Arial"/>
          <w:sz w:val="24"/>
          <w:szCs w:val="24"/>
        </w:rPr>
        <w:t>-9</w:t>
      </w:r>
      <w:r w:rsidRPr="006C074A">
        <w:rPr>
          <w:rFonts w:ascii="Arial" w:eastAsia="Calibri" w:hAnsi="Arial" w:cs="Arial"/>
          <w:sz w:val="24"/>
          <w:szCs w:val="24"/>
        </w:rPr>
        <w:t xml:space="preserve">] este fenómeno se produce siempre que una superficie sólida sea expuesta a un gas o líquido y lo definen como el enriquecimiento de uno o más de los componentes en la vecindad de una interfase o el incremento en la densidad en tal vecindad bajo ciertas condiciones habrá una mejora apreciable en la concentración de un componente en particular. </w:t>
      </w:r>
    </w:p>
    <w:p w:rsidR="00B02140" w:rsidRDefault="00B02140" w:rsidP="00ED3891">
      <w:pPr>
        <w:autoSpaceDE w:val="0"/>
        <w:autoSpaceDN w:val="0"/>
        <w:adjustRightInd w:val="0"/>
        <w:jc w:val="both"/>
        <w:rPr>
          <w:rFonts w:ascii="Arial" w:eastAsia="Calibri" w:hAnsi="Arial" w:cs="Arial"/>
          <w:sz w:val="24"/>
          <w:szCs w:val="24"/>
        </w:rPr>
      </w:pPr>
      <w:r>
        <w:rPr>
          <w:rFonts w:ascii="Arial" w:eastAsia="Calibri" w:hAnsi="Arial" w:cs="Arial"/>
          <w:sz w:val="24"/>
          <w:szCs w:val="24"/>
        </w:rPr>
        <w:t>Se ha dessarrollado</w:t>
      </w:r>
      <w:r w:rsidR="00ED3891" w:rsidRPr="006C074A">
        <w:rPr>
          <w:rFonts w:ascii="Arial" w:eastAsia="Calibri" w:hAnsi="Arial" w:cs="Arial"/>
          <w:sz w:val="24"/>
          <w:szCs w:val="24"/>
        </w:rPr>
        <w:t xml:space="preserve"> a partir de la marca comercial “Degussa P25” y por medio de un tratamiento térmico nanopartículas de TiO</w:t>
      </w:r>
      <w:r w:rsidR="00ED3891" w:rsidRPr="006C074A">
        <w:rPr>
          <w:rFonts w:ascii="Arial" w:eastAsia="Calibri" w:hAnsi="Arial" w:cs="Arial"/>
          <w:sz w:val="24"/>
          <w:szCs w:val="24"/>
          <w:vertAlign w:val="subscript"/>
        </w:rPr>
        <w:t>2</w:t>
      </w:r>
      <w:r w:rsidR="00ED3891" w:rsidRPr="006C074A">
        <w:rPr>
          <w:rFonts w:ascii="Arial" w:eastAsia="Calibri" w:hAnsi="Arial" w:cs="Arial"/>
          <w:sz w:val="24"/>
          <w:szCs w:val="24"/>
        </w:rPr>
        <w:t xml:space="preserve"> con composiciones de fase diferentes (anatasa y rutilo), encontra</w:t>
      </w:r>
      <w:r w:rsidR="002577B9">
        <w:rPr>
          <w:rFonts w:ascii="Arial" w:eastAsia="Calibri" w:hAnsi="Arial" w:cs="Arial"/>
          <w:sz w:val="24"/>
          <w:szCs w:val="24"/>
        </w:rPr>
        <w:t>ron</w:t>
      </w:r>
      <w:r w:rsidR="00ED3891" w:rsidRPr="006C074A">
        <w:rPr>
          <w:rFonts w:ascii="Arial" w:eastAsia="Calibri" w:hAnsi="Arial" w:cs="Arial"/>
          <w:sz w:val="24"/>
          <w:szCs w:val="24"/>
        </w:rPr>
        <w:t xml:space="preserve">  que la adsorción sobre las nanopartículas es crucial para la velocidad de reacción. </w:t>
      </w:r>
      <w:r w:rsidR="002577B9">
        <w:rPr>
          <w:rFonts w:ascii="Arial" w:eastAsia="Calibri" w:hAnsi="Arial" w:cs="Arial"/>
          <w:sz w:val="24"/>
          <w:szCs w:val="24"/>
        </w:rPr>
        <w:t>D</w:t>
      </w:r>
      <w:r w:rsidR="00ED3891" w:rsidRPr="006C074A">
        <w:rPr>
          <w:rFonts w:ascii="Arial" w:eastAsia="Calibri" w:hAnsi="Arial" w:cs="Arial"/>
          <w:sz w:val="24"/>
          <w:szCs w:val="24"/>
        </w:rPr>
        <w:t>estaca</w:t>
      </w:r>
      <w:r w:rsidR="002577B9">
        <w:rPr>
          <w:rFonts w:ascii="Arial" w:eastAsia="Calibri" w:hAnsi="Arial" w:cs="Arial"/>
          <w:sz w:val="24"/>
          <w:szCs w:val="24"/>
        </w:rPr>
        <w:t>ndo</w:t>
      </w:r>
      <w:r w:rsidR="00ED3891" w:rsidRPr="006C074A">
        <w:rPr>
          <w:rFonts w:ascii="Arial" w:eastAsia="Calibri" w:hAnsi="Arial" w:cs="Arial"/>
          <w:sz w:val="24"/>
          <w:szCs w:val="24"/>
        </w:rPr>
        <w:t xml:space="preserve"> que la adsorción sobre el catalizador con una mezcla de fases es reversible, mientras que sobre el rutilo p</w:t>
      </w:r>
      <w:r w:rsidR="00D43F57" w:rsidRPr="006C074A">
        <w:rPr>
          <w:rFonts w:ascii="Arial" w:eastAsia="Calibri" w:hAnsi="Arial" w:cs="Arial"/>
          <w:sz w:val="24"/>
          <w:szCs w:val="24"/>
        </w:rPr>
        <w:t>uro es irreversible. Así mismo</w:t>
      </w:r>
      <w:r w:rsidR="00ED3891" w:rsidRPr="006C074A">
        <w:rPr>
          <w:rFonts w:ascii="Arial" w:eastAsia="Calibri" w:hAnsi="Arial" w:cs="Arial"/>
          <w:sz w:val="24"/>
          <w:szCs w:val="24"/>
        </w:rPr>
        <w:t>.[10] han indicado que los iones hidroxilos que se forman en la superficie del TiO</w:t>
      </w:r>
      <w:r w:rsidR="00ED3891" w:rsidRPr="006C074A">
        <w:rPr>
          <w:rFonts w:ascii="Arial" w:eastAsia="Calibri" w:hAnsi="Arial" w:cs="Arial"/>
          <w:sz w:val="24"/>
          <w:szCs w:val="24"/>
          <w:vertAlign w:val="subscript"/>
        </w:rPr>
        <w:t>2</w:t>
      </w:r>
      <w:r w:rsidR="00ED3891" w:rsidRPr="006C074A">
        <w:rPr>
          <w:rFonts w:ascii="Arial" w:eastAsia="Calibri" w:hAnsi="Arial" w:cs="Arial"/>
          <w:sz w:val="24"/>
          <w:szCs w:val="24"/>
        </w:rPr>
        <w:t xml:space="preserve"> muestran propiedades favorables para la adsorción del oxígeno o el agua en donde las superficies del fotocatalizador fueron reducidas</w:t>
      </w:r>
      <w:r w:rsidR="00545C43">
        <w:rPr>
          <w:rFonts w:ascii="Arial" w:eastAsia="Calibri" w:hAnsi="Arial" w:cs="Arial"/>
          <w:sz w:val="24"/>
          <w:szCs w:val="24"/>
        </w:rPr>
        <w:t xml:space="preserve"> siendo la</w:t>
      </w:r>
      <w:r w:rsidR="00ED3891" w:rsidRPr="006C074A">
        <w:rPr>
          <w:rFonts w:ascii="Arial" w:eastAsia="Calibri" w:hAnsi="Arial" w:cs="Arial"/>
          <w:sz w:val="24"/>
          <w:szCs w:val="24"/>
        </w:rPr>
        <w:t xml:space="preserve">  causa de los grupos hidroxilos que están involucrados como resultado de la disociación del agua. </w:t>
      </w:r>
    </w:p>
    <w:p w:rsidR="00ED3891" w:rsidRPr="006C074A" w:rsidRDefault="00ED3891" w:rsidP="00ED3891">
      <w:pPr>
        <w:autoSpaceDE w:val="0"/>
        <w:autoSpaceDN w:val="0"/>
        <w:adjustRightInd w:val="0"/>
        <w:jc w:val="both"/>
        <w:rPr>
          <w:rFonts w:ascii="Arial" w:eastAsia="Calibri" w:hAnsi="Arial" w:cs="Arial"/>
          <w:sz w:val="24"/>
          <w:szCs w:val="24"/>
        </w:rPr>
      </w:pPr>
      <w:r w:rsidRPr="006C074A">
        <w:rPr>
          <w:rFonts w:ascii="Arial" w:eastAsia="Calibri" w:hAnsi="Arial" w:cs="Arial"/>
          <w:sz w:val="24"/>
          <w:szCs w:val="24"/>
        </w:rPr>
        <w:t xml:space="preserve">El tamaño </w:t>
      </w:r>
      <w:r w:rsidR="00545C43">
        <w:rPr>
          <w:rFonts w:ascii="Arial" w:eastAsia="Calibri" w:hAnsi="Arial" w:cs="Arial"/>
          <w:sz w:val="24"/>
          <w:szCs w:val="24"/>
        </w:rPr>
        <w:t xml:space="preserve">de partícula </w:t>
      </w:r>
      <w:r w:rsidRPr="006C074A">
        <w:rPr>
          <w:rFonts w:ascii="Arial" w:eastAsia="Calibri" w:hAnsi="Arial" w:cs="Arial"/>
          <w:sz w:val="24"/>
          <w:szCs w:val="24"/>
        </w:rPr>
        <w:t>es un factor que determina el comportamiento del catalizador; las propiedades de las partículas nanométricas de catalizador tales como el “bandgap”, el punto de fusión, la morfología y la reactividad de la superficie se vuelven dependientes del tamaño.[6</w:t>
      </w:r>
      <w:r w:rsidR="003A195B">
        <w:rPr>
          <w:rFonts w:ascii="Arial" w:eastAsia="Calibri" w:hAnsi="Arial" w:cs="Arial"/>
          <w:sz w:val="24"/>
          <w:szCs w:val="24"/>
        </w:rPr>
        <w:t>-7</w:t>
      </w:r>
      <w:r w:rsidRPr="006C074A">
        <w:rPr>
          <w:rFonts w:ascii="Arial" w:eastAsia="Calibri" w:hAnsi="Arial" w:cs="Arial"/>
          <w:sz w:val="24"/>
          <w:szCs w:val="24"/>
        </w:rPr>
        <w:t xml:space="preserve">].   </w:t>
      </w:r>
      <w:r w:rsidR="002577B9">
        <w:rPr>
          <w:rFonts w:ascii="Arial" w:eastAsia="Calibri" w:hAnsi="Arial" w:cs="Arial"/>
          <w:sz w:val="24"/>
          <w:szCs w:val="24"/>
        </w:rPr>
        <w:t>L</w:t>
      </w:r>
      <w:r w:rsidRPr="006C074A">
        <w:rPr>
          <w:rFonts w:ascii="Arial" w:eastAsia="Calibri" w:hAnsi="Arial" w:cs="Arial"/>
          <w:sz w:val="24"/>
          <w:szCs w:val="24"/>
        </w:rPr>
        <w:t xml:space="preserve">os retos a superar para </w:t>
      </w:r>
      <w:r w:rsidRPr="006C074A">
        <w:rPr>
          <w:rFonts w:ascii="Arial" w:eastAsia="Calibri" w:hAnsi="Arial" w:cs="Arial"/>
          <w:sz w:val="24"/>
          <w:szCs w:val="24"/>
        </w:rPr>
        <w:lastRenderedPageBreak/>
        <w:t>incrementar la actividad catalítica del TiO</w:t>
      </w:r>
      <w:r w:rsidRPr="006C074A">
        <w:rPr>
          <w:rFonts w:ascii="Arial" w:eastAsia="Calibri" w:hAnsi="Arial" w:cs="Arial"/>
          <w:sz w:val="24"/>
          <w:szCs w:val="24"/>
          <w:vertAlign w:val="subscript"/>
        </w:rPr>
        <w:t>2</w:t>
      </w:r>
      <w:r w:rsidRPr="006C074A">
        <w:rPr>
          <w:rFonts w:ascii="Arial" w:eastAsia="Calibri" w:hAnsi="Arial" w:cs="Arial"/>
          <w:sz w:val="24"/>
          <w:szCs w:val="24"/>
        </w:rPr>
        <w:t xml:space="preserve"> </w:t>
      </w:r>
      <w:r w:rsidR="002577B9">
        <w:rPr>
          <w:rFonts w:ascii="Arial" w:eastAsia="Calibri" w:hAnsi="Arial" w:cs="Arial"/>
          <w:sz w:val="24"/>
          <w:szCs w:val="24"/>
        </w:rPr>
        <w:t>son</w:t>
      </w:r>
      <w:r w:rsidRPr="006C074A">
        <w:rPr>
          <w:rFonts w:ascii="Arial" w:eastAsia="Calibri" w:hAnsi="Arial" w:cs="Arial"/>
          <w:sz w:val="24"/>
          <w:szCs w:val="24"/>
        </w:rPr>
        <w:t>: la alta recombinación de los pares electrón-hueco generados durante el proceso catalítico y la utilización de luz visible para la activación del semiconductor para conseguir así un mejor aprovechamiento de la radiación solar. En este sentido, durante los últimos años ha habido un gran número de investigaciones acerca de la impurificación (“doping”) del TiO</w:t>
      </w:r>
      <w:r w:rsidRPr="006C074A">
        <w:rPr>
          <w:rFonts w:ascii="Arial" w:eastAsia="Calibri" w:hAnsi="Arial" w:cs="Arial"/>
          <w:sz w:val="24"/>
          <w:szCs w:val="24"/>
          <w:vertAlign w:val="subscript"/>
        </w:rPr>
        <w:t>2</w:t>
      </w:r>
      <w:r w:rsidRPr="006C074A">
        <w:rPr>
          <w:rFonts w:ascii="Arial" w:eastAsia="Calibri" w:hAnsi="Arial" w:cs="Arial"/>
          <w:sz w:val="24"/>
          <w:szCs w:val="24"/>
        </w:rPr>
        <w:t xml:space="preserve"> con múltiples especies para mejorar el comportamiento catalítico del óxido</w:t>
      </w:r>
      <w:r w:rsidR="005F64C9" w:rsidRPr="006C074A">
        <w:rPr>
          <w:rFonts w:ascii="Arial" w:eastAsia="Calibri" w:hAnsi="Arial" w:cs="Arial"/>
          <w:sz w:val="24"/>
          <w:szCs w:val="24"/>
        </w:rPr>
        <w:t>, reduciendo su bandgap.[11-12</w:t>
      </w:r>
      <w:r w:rsidRPr="006C074A">
        <w:rPr>
          <w:rFonts w:ascii="Arial" w:eastAsia="Calibri" w:hAnsi="Arial" w:cs="Arial"/>
          <w:sz w:val="24"/>
          <w:szCs w:val="24"/>
        </w:rPr>
        <w:t>].</w:t>
      </w:r>
    </w:p>
    <w:p w:rsidR="00ED3891" w:rsidRPr="006C074A" w:rsidRDefault="00ED3891" w:rsidP="00ED3891">
      <w:pPr>
        <w:jc w:val="both"/>
        <w:rPr>
          <w:rFonts w:ascii="Arial" w:eastAsia="Calibri" w:hAnsi="Arial" w:cs="Arial"/>
          <w:b/>
          <w:sz w:val="24"/>
          <w:szCs w:val="24"/>
        </w:rPr>
      </w:pPr>
      <w:r w:rsidRPr="006C074A">
        <w:rPr>
          <w:rFonts w:ascii="Arial" w:eastAsia="Calibri" w:hAnsi="Arial" w:cs="Arial"/>
          <w:sz w:val="24"/>
          <w:szCs w:val="24"/>
        </w:rPr>
        <w:t>El TiO</w:t>
      </w:r>
      <w:r w:rsidRPr="006C074A">
        <w:rPr>
          <w:rFonts w:ascii="Arial" w:eastAsia="Calibri" w:hAnsi="Arial" w:cs="Arial"/>
          <w:sz w:val="24"/>
          <w:szCs w:val="24"/>
          <w:vertAlign w:val="subscript"/>
        </w:rPr>
        <w:t>2</w:t>
      </w:r>
      <w:r w:rsidRPr="006C074A">
        <w:rPr>
          <w:rFonts w:ascii="Arial" w:eastAsia="Calibri" w:hAnsi="Arial" w:cs="Arial"/>
          <w:sz w:val="24"/>
          <w:szCs w:val="24"/>
        </w:rPr>
        <w:t xml:space="preserve"> tiene tres fases cristalinas llamadas anatasa, rutilo y brookita.[6] La irradiación en la superficie del TiO</w:t>
      </w:r>
      <w:r w:rsidRPr="006C074A">
        <w:rPr>
          <w:rFonts w:ascii="Arial" w:eastAsia="Calibri" w:hAnsi="Arial" w:cs="Arial"/>
          <w:sz w:val="24"/>
          <w:szCs w:val="24"/>
          <w:vertAlign w:val="subscript"/>
        </w:rPr>
        <w:t>2</w:t>
      </w:r>
      <w:r w:rsidRPr="006C074A">
        <w:rPr>
          <w:rFonts w:ascii="Arial" w:eastAsia="Calibri" w:hAnsi="Arial" w:cs="Arial"/>
          <w:sz w:val="24"/>
          <w:szCs w:val="24"/>
        </w:rPr>
        <w:t xml:space="preserve"> con una cantidad de energía mayor o igual a su “bandgap” o banda de activación, que varía para las formas alotrópicas de éste (anatasa 3.2eV y rutilo 3.0eV), fotoexcita un electrón de la banda de valencia (BV) hacia la banda de conducción (BC) vacía, el cual deja tras de sí un hueco y con ello produce así un par electrón-hueco en el semiconductor; este par es capaz de iniciar las reacciones de oxidación-reducción en la interfase del mismo.[8].  </w:t>
      </w:r>
      <w:r w:rsidR="00D43F57" w:rsidRPr="006C074A">
        <w:rPr>
          <w:rFonts w:ascii="Arial" w:eastAsia="Calibri" w:hAnsi="Arial" w:cs="Arial"/>
          <w:sz w:val="24"/>
          <w:szCs w:val="24"/>
        </w:rPr>
        <w:t>Además</w:t>
      </w:r>
      <w:r w:rsidRPr="006C074A">
        <w:rPr>
          <w:rFonts w:ascii="Arial" w:eastAsia="Calibri" w:hAnsi="Arial" w:cs="Arial"/>
          <w:sz w:val="24"/>
          <w:szCs w:val="24"/>
        </w:rPr>
        <w:t>.[</w:t>
      </w:r>
      <w:r w:rsidR="005F64C9" w:rsidRPr="006C074A">
        <w:rPr>
          <w:rFonts w:ascii="Arial" w:eastAsia="Calibri" w:hAnsi="Arial" w:cs="Arial"/>
          <w:sz w:val="24"/>
          <w:szCs w:val="24"/>
        </w:rPr>
        <w:t>1</w:t>
      </w:r>
      <w:r w:rsidRPr="006C074A">
        <w:rPr>
          <w:rFonts w:ascii="Arial" w:eastAsia="Calibri" w:hAnsi="Arial" w:cs="Arial"/>
          <w:sz w:val="24"/>
          <w:szCs w:val="24"/>
        </w:rPr>
        <w:t xml:space="preserve">3] </w:t>
      </w:r>
      <w:r w:rsidR="00D43F57" w:rsidRPr="006C074A">
        <w:rPr>
          <w:rFonts w:ascii="Arial" w:eastAsia="Calibri" w:hAnsi="Arial" w:cs="Arial"/>
          <w:sz w:val="24"/>
          <w:szCs w:val="24"/>
        </w:rPr>
        <w:t xml:space="preserve"> </w:t>
      </w:r>
      <w:r w:rsidRPr="006C074A">
        <w:rPr>
          <w:rFonts w:ascii="Arial" w:eastAsia="Calibri" w:hAnsi="Arial" w:cs="Arial"/>
          <w:sz w:val="24"/>
          <w:szCs w:val="24"/>
        </w:rPr>
        <w:t xml:space="preserve">sintetizaron por el método sol-gel el dióxido de titanio en donde cada uno de estos catalizadores fue impurificado con alguno de 13 iones metálicos seleccionados, examinaron las actividades fotocatalíticas en términos del fotoblanqueo del azul de metileno en solución acuosa bajo irradiación con luz visible (λ&gt;400nm) o luz UV-visible (λ&gt;320nm). En estas condiciones además que lograron la degradación también mejoraron la respuesta para la actividad fotocatalítica bajo la irradiación con luz visible para aquellos catalizadores con platino y cromo.  </w:t>
      </w:r>
    </w:p>
    <w:p w:rsidR="00ED3891" w:rsidRPr="006C074A" w:rsidRDefault="00ED3891" w:rsidP="004E4E19">
      <w:pPr>
        <w:autoSpaceDE w:val="0"/>
        <w:autoSpaceDN w:val="0"/>
        <w:adjustRightInd w:val="0"/>
        <w:jc w:val="both"/>
        <w:rPr>
          <w:rFonts w:ascii="Arial" w:eastAsia="Calibri" w:hAnsi="Arial" w:cs="Arial"/>
          <w:sz w:val="24"/>
          <w:szCs w:val="24"/>
        </w:rPr>
      </w:pPr>
      <w:r w:rsidRPr="006C074A">
        <w:rPr>
          <w:rFonts w:ascii="Arial" w:eastAsia="Calibri" w:hAnsi="Arial" w:cs="Arial"/>
          <w:sz w:val="24"/>
          <w:szCs w:val="24"/>
        </w:rPr>
        <w:t xml:space="preserve">La Figura 1, esquematiza los procesos químicos que ocurren en una partícula de este semiconductor cuando es excitado con luz suficientemente energética (igual o mayor a su banda de activación). </w:t>
      </w:r>
      <w:r w:rsidR="000E31E6">
        <w:rPr>
          <w:rFonts w:ascii="Arial" w:eastAsia="Calibri" w:hAnsi="Arial" w:cs="Arial"/>
          <w:sz w:val="24"/>
          <w:szCs w:val="24"/>
        </w:rPr>
        <w:t>C</w:t>
      </w:r>
      <w:r w:rsidRPr="006C074A">
        <w:rPr>
          <w:rFonts w:ascii="Arial" w:eastAsia="Calibri" w:hAnsi="Arial" w:cs="Arial"/>
          <w:sz w:val="24"/>
          <w:szCs w:val="24"/>
        </w:rPr>
        <w:t>rean</w:t>
      </w:r>
      <w:r w:rsidR="000E31E6">
        <w:rPr>
          <w:rFonts w:ascii="Arial" w:eastAsia="Calibri" w:hAnsi="Arial" w:cs="Arial"/>
          <w:sz w:val="24"/>
          <w:szCs w:val="24"/>
        </w:rPr>
        <w:t>dose</w:t>
      </w:r>
      <w:r w:rsidRPr="006C074A">
        <w:rPr>
          <w:rFonts w:ascii="Arial" w:eastAsia="Calibri" w:hAnsi="Arial" w:cs="Arial"/>
          <w:sz w:val="24"/>
          <w:szCs w:val="24"/>
        </w:rPr>
        <w:t xml:space="preserve"> los pares electrón-hueco, cuya vida media está en el rango de los nano y picosegundos y es en ese lapso en el que deben migrar a la superficie de la partícula para luego reaccionar con las especies adsorbidas (procesos c y d). Paralelamente, los pares electrón-hueco formados que no logran reaccionar con las especies en la superficie se recombinan y la energía se disipa. Esta recombinación puede tener lugar tanto en la superficie como en el seno de la partícula (procesos a y b, respectivamente).[7]</w:t>
      </w:r>
    </w:p>
    <w:p w:rsidR="00ED3891" w:rsidRPr="006C074A" w:rsidRDefault="00ED3891" w:rsidP="00ED3891">
      <w:pPr>
        <w:spacing w:after="0"/>
        <w:jc w:val="center"/>
        <w:rPr>
          <w:rFonts w:ascii="Arial" w:eastAsia="Calibri" w:hAnsi="Arial" w:cs="Arial"/>
          <w:color w:val="FF0000"/>
          <w:sz w:val="24"/>
          <w:szCs w:val="24"/>
        </w:rPr>
      </w:pPr>
      <w:r w:rsidRPr="006C074A">
        <w:rPr>
          <w:rFonts w:ascii="Arial" w:eastAsia="Calibri" w:hAnsi="Arial" w:cs="Arial"/>
          <w:noProof/>
          <w:color w:val="FF0000"/>
          <w:sz w:val="24"/>
          <w:szCs w:val="24"/>
          <w:lang w:eastAsia="es-MX"/>
        </w:rPr>
        <w:lastRenderedPageBreak/>
        <w:drawing>
          <wp:inline distT="0" distB="0" distL="0" distR="0" wp14:anchorId="3BE220F9" wp14:editId="6D17D47C">
            <wp:extent cx="4229100" cy="173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2902" cy="1735108"/>
                    </a:xfrm>
                    <a:prstGeom prst="rect">
                      <a:avLst/>
                    </a:prstGeom>
                    <a:noFill/>
                    <a:ln>
                      <a:noFill/>
                    </a:ln>
                  </pic:spPr>
                </pic:pic>
              </a:graphicData>
            </a:graphic>
          </wp:inline>
        </w:drawing>
      </w:r>
    </w:p>
    <w:p w:rsidR="00ED3891" w:rsidRPr="006C074A" w:rsidRDefault="00ED3891" w:rsidP="00ED3891">
      <w:pPr>
        <w:autoSpaceDE w:val="0"/>
        <w:autoSpaceDN w:val="0"/>
        <w:adjustRightInd w:val="0"/>
        <w:spacing w:after="0"/>
        <w:jc w:val="center"/>
        <w:rPr>
          <w:rFonts w:ascii="Arial" w:eastAsia="Calibri" w:hAnsi="Arial" w:cs="Arial"/>
          <w:sz w:val="24"/>
          <w:szCs w:val="24"/>
        </w:rPr>
      </w:pPr>
      <w:r w:rsidRPr="006C074A">
        <w:rPr>
          <w:rFonts w:ascii="Arial" w:eastAsia="Calibri" w:hAnsi="Arial" w:cs="Arial"/>
          <w:b/>
          <w:sz w:val="24"/>
          <w:szCs w:val="24"/>
        </w:rPr>
        <w:t xml:space="preserve">Figura 1. </w:t>
      </w:r>
      <w:r w:rsidRPr="006C074A">
        <w:rPr>
          <w:rFonts w:ascii="Arial" w:eastAsia="Calibri" w:hAnsi="Arial" w:cs="Arial"/>
          <w:sz w:val="24"/>
          <w:szCs w:val="24"/>
        </w:rPr>
        <w:t>Procesos que ocurren en la interfaz semiconductor-solución bajo iluminación.</w:t>
      </w:r>
    </w:p>
    <w:p w:rsidR="00ED3891" w:rsidRPr="006C074A" w:rsidRDefault="00ED3891" w:rsidP="00545C43">
      <w:pPr>
        <w:autoSpaceDE w:val="0"/>
        <w:autoSpaceDN w:val="0"/>
        <w:adjustRightInd w:val="0"/>
        <w:jc w:val="both"/>
        <w:rPr>
          <w:rFonts w:ascii="Arial" w:eastAsia="Calibri" w:hAnsi="Arial" w:cs="Arial"/>
          <w:sz w:val="24"/>
          <w:szCs w:val="24"/>
        </w:rPr>
      </w:pPr>
      <w:r w:rsidRPr="006C074A">
        <w:rPr>
          <w:rFonts w:ascii="Arial" w:eastAsia="Calibri" w:hAnsi="Arial" w:cs="Arial"/>
          <w:sz w:val="24"/>
          <w:szCs w:val="24"/>
        </w:rPr>
        <w:t>Para remediar estas limitaciones, se está buscando que el óxido semiconductor trabaje de forma estable y continua aprovechando la radiación de la región visible, además de la región UV, del espectro electromagnético solar.[11] Se desea que el semiconductor funcione en esta región ya que la penetración de la luz UV está limitada a causa de la fuerte absorción hecha tanto por las partículas de catalizador así como por las especies orgánicas disueltas.[12].</w:t>
      </w:r>
      <w:r w:rsidR="00545C43">
        <w:rPr>
          <w:rFonts w:ascii="Arial" w:eastAsia="Calibri" w:hAnsi="Arial" w:cs="Arial"/>
          <w:sz w:val="24"/>
          <w:szCs w:val="24"/>
        </w:rPr>
        <w:t xml:space="preserve"> </w:t>
      </w:r>
      <w:r w:rsidRPr="006C074A">
        <w:rPr>
          <w:rFonts w:ascii="Arial" w:eastAsia="Calibri" w:hAnsi="Arial" w:cs="Arial"/>
          <w:sz w:val="24"/>
          <w:szCs w:val="24"/>
        </w:rPr>
        <w:t>Los agentes de impurificación introducidos en la red cristalina del semiconductor facilitan las cinéticas de separación de los pares fotoelectrón-hueco en la superficie del material y por lo tanto aceleran la producción de radicales oxidantes.[</w:t>
      </w:r>
      <w:r w:rsidR="005F64C9" w:rsidRPr="006C074A">
        <w:rPr>
          <w:rFonts w:ascii="Arial" w:eastAsia="Calibri" w:hAnsi="Arial" w:cs="Arial"/>
          <w:sz w:val="24"/>
          <w:szCs w:val="24"/>
        </w:rPr>
        <w:t>14</w:t>
      </w:r>
      <w:r w:rsidRPr="006C074A">
        <w:rPr>
          <w:rFonts w:ascii="Arial" w:eastAsia="Calibri" w:hAnsi="Arial" w:cs="Arial"/>
          <w:sz w:val="24"/>
          <w:szCs w:val="24"/>
        </w:rPr>
        <w:t>].  El espectro de absorción de luz del semiconductor define sus posibles usos.[7]</w:t>
      </w:r>
      <w:r w:rsidR="005F64C9" w:rsidRPr="006C074A">
        <w:rPr>
          <w:rFonts w:ascii="Arial" w:eastAsia="Calibri" w:hAnsi="Arial" w:cs="Arial"/>
          <w:sz w:val="24"/>
          <w:szCs w:val="24"/>
        </w:rPr>
        <w:t xml:space="preserve">. </w:t>
      </w:r>
      <w:r w:rsidRPr="006C074A">
        <w:rPr>
          <w:rFonts w:ascii="Arial" w:eastAsia="Calibri" w:hAnsi="Arial" w:cs="Arial"/>
          <w:sz w:val="24"/>
          <w:szCs w:val="24"/>
        </w:rPr>
        <w:t xml:space="preserve"> La absorción de la radiación con energía menor que la E</w:t>
      </w:r>
      <w:r w:rsidRPr="006C074A">
        <w:rPr>
          <w:rFonts w:ascii="Arial" w:eastAsia="Calibri" w:hAnsi="Arial" w:cs="Arial"/>
          <w:sz w:val="24"/>
          <w:szCs w:val="24"/>
          <w:vertAlign w:val="subscript"/>
        </w:rPr>
        <w:t>g</w:t>
      </w:r>
      <w:r w:rsidRPr="006C074A">
        <w:rPr>
          <w:rFonts w:ascii="Arial" w:eastAsia="Calibri" w:hAnsi="Arial" w:cs="Arial"/>
          <w:sz w:val="24"/>
          <w:szCs w:val="24"/>
        </w:rPr>
        <w:t xml:space="preserve"> puede considerarse prácticamente nula y la absorbancia aumenta drásticamente para longitudes de onda del siguiente orden en base a la siguiente relación matemática:</w:t>
      </w:r>
    </w:p>
    <w:p w:rsidR="00ED3891" w:rsidRPr="006C074A" w:rsidRDefault="00ED3891" w:rsidP="00ED3891">
      <w:pPr>
        <w:autoSpaceDE w:val="0"/>
        <w:autoSpaceDN w:val="0"/>
        <w:adjustRightInd w:val="0"/>
        <w:jc w:val="both"/>
        <w:rPr>
          <w:rFonts w:ascii="Arial" w:eastAsia="Calibri" w:hAnsi="Arial" w:cs="Arial"/>
          <w:sz w:val="24"/>
          <w:szCs w:val="24"/>
        </w:rPr>
      </w:pPr>
      <w:r w:rsidRPr="006C074A">
        <w:rPr>
          <w:rFonts w:ascii="Arial" w:eastAsia="Calibri" w:hAnsi="Arial" w:cs="Arial"/>
          <w:sz w:val="24"/>
          <w:szCs w:val="24"/>
        </w:rPr>
        <w:t xml:space="preserve">                                                     </w:t>
      </w:r>
      <m:oMath>
        <m:r>
          <w:rPr>
            <w:rFonts w:ascii="Cambria Math" w:eastAsia="Calibri" w:hAnsi="Cambria Math" w:cs="Arial"/>
            <w:sz w:val="24"/>
            <w:szCs w:val="24"/>
          </w:rPr>
          <m:t>λ=</m:t>
        </m:r>
        <m:f>
          <m:fPr>
            <m:ctrlPr>
              <w:rPr>
                <w:rFonts w:ascii="Cambria Math" w:eastAsia="Calibri" w:hAnsi="Cambria Math" w:cs="Arial"/>
                <w:i/>
                <w:sz w:val="24"/>
                <w:szCs w:val="24"/>
              </w:rPr>
            </m:ctrlPr>
          </m:fPr>
          <m:num>
            <m:sSub>
              <m:sSubPr>
                <m:ctrlPr>
                  <w:rPr>
                    <w:rFonts w:ascii="Cambria Math" w:eastAsia="Calibri" w:hAnsi="Cambria Math" w:cs="Arial"/>
                    <w:i/>
                    <w:sz w:val="24"/>
                    <w:szCs w:val="24"/>
                  </w:rPr>
                </m:ctrlPr>
              </m:sSubPr>
              <m:e>
                <m:r>
                  <w:rPr>
                    <w:rFonts w:ascii="Cambria Math" w:eastAsia="Calibri" w:hAnsi="Cambria Math" w:cs="Arial"/>
                    <w:sz w:val="24"/>
                    <w:szCs w:val="24"/>
                  </w:rPr>
                  <m:t>E</m:t>
                </m:r>
              </m:e>
              <m:sub>
                <m:r>
                  <w:rPr>
                    <w:rFonts w:ascii="Cambria Math" w:eastAsia="Calibri" w:hAnsi="Cambria Math" w:cs="Arial"/>
                    <w:sz w:val="24"/>
                    <w:szCs w:val="24"/>
                  </w:rPr>
                  <m:t>g</m:t>
                </m:r>
              </m:sub>
            </m:sSub>
          </m:num>
          <m:den>
            <m:r>
              <w:rPr>
                <w:rFonts w:ascii="Cambria Math" w:eastAsia="Calibri" w:hAnsi="Cambria Math" w:cs="Arial"/>
                <w:sz w:val="24"/>
                <w:szCs w:val="24"/>
              </w:rPr>
              <m:t>hc</m:t>
            </m:r>
          </m:den>
        </m:f>
      </m:oMath>
      <w:r w:rsidRPr="006C074A">
        <w:rPr>
          <w:rFonts w:ascii="Arial" w:eastAsia="Calibri" w:hAnsi="Arial" w:cs="Arial"/>
          <w:sz w:val="24"/>
          <w:szCs w:val="24"/>
        </w:rPr>
        <w:t xml:space="preserve">   </w:t>
      </w:r>
      <w:r w:rsidRPr="006C074A">
        <w:rPr>
          <w:rFonts w:ascii="Arial" w:eastAsia="Calibri" w:hAnsi="Arial" w:cs="Arial"/>
          <w:sz w:val="24"/>
          <w:szCs w:val="24"/>
        </w:rPr>
        <w:tab/>
      </w:r>
      <w:r w:rsidRPr="006C074A">
        <w:rPr>
          <w:rFonts w:ascii="Arial" w:eastAsia="Calibri" w:hAnsi="Arial" w:cs="Arial"/>
          <w:sz w:val="24"/>
          <w:szCs w:val="24"/>
        </w:rPr>
        <w:tab/>
      </w:r>
      <w:r w:rsidRPr="006C074A">
        <w:rPr>
          <w:rFonts w:ascii="Arial" w:eastAsia="Calibri" w:hAnsi="Arial" w:cs="Arial"/>
          <w:sz w:val="24"/>
          <w:szCs w:val="24"/>
        </w:rPr>
        <w:tab/>
        <w:t>Ec. (1)</w:t>
      </w:r>
    </w:p>
    <w:p w:rsidR="00ED3891" w:rsidRPr="006C074A" w:rsidRDefault="00ED3891" w:rsidP="00ED3891">
      <w:pPr>
        <w:autoSpaceDE w:val="0"/>
        <w:autoSpaceDN w:val="0"/>
        <w:adjustRightInd w:val="0"/>
        <w:spacing w:after="0"/>
        <w:jc w:val="both"/>
        <w:rPr>
          <w:rFonts w:ascii="Arial" w:eastAsia="Calibri" w:hAnsi="Arial" w:cs="Arial"/>
          <w:sz w:val="24"/>
          <w:szCs w:val="24"/>
        </w:rPr>
      </w:pPr>
      <w:r w:rsidRPr="006C074A">
        <w:rPr>
          <w:rFonts w:ascii="Arial" w:eastAsia="Calibri" w:hAnsi="Arial" w:cs="Arial"/>
          <w:sz w:val="24"/>
          <w:szCs w:val="24"/>
        </w:rPr>
        <w:t>Donde: λ = Longitud de onda. h = Constante de Planck. c = Velocidad de la luz.</w:t>
      </w:r>
    </w:p>
    <w:p w:rsidR="00ED3891" w:rsidRPr="006C074A" w:rsidRDefault="00ED3891" w:rsidP="00ED3891">
      <w:pPr>
        <w:autoSpaceDE w:val="0"/>
        <w:autoSpaceDN w:val="0"/>
        <w:adjustRightInd w:val="0"/>
        <w:spacing w:after="0"/>
        <w:jc w:val="both"/>
        <w:rPr>
          <w:rFonts w:ascii="Arial" w:eastAsia="Calibri" w:hAnsi="Arial" w:cs="Arial"/>
          <w:sz w:val="24"/>
          <w:szCs w:val="24"/>
        </w:rPr>
      </w:pPr>
    </w:p>
    <w:p w:rsidR="004E4E19" w:rsidRDefault="004E4E19" w:rsidP="00ED3891">
      <w:pPr>
        <w:jc w:val="both"/>
        <w:rPr>
          <w:rFonts w:ascii="Arial" w:eastAsia="Calibri" w:hAnsi="Arial" w:cs="Arial"/>
          <w:b/>
          <w:sz w:val="24"/>
          <w:szCs w:val="24"/>
        </w:rPr>
      </w:pPr>
    </w:p>
    <w:p w:rsidR="00ED3891" w:rsidRPr="006C074A" w:rsidRDefault="00ED3891" w:rsidP="00ED3891">
      <w:pPr>
        <w:jc w:val="both"/>
        <w:rPr>
          <w:rFonts w:ascii="Arial" w:eastAsia="Calibri" w:hAnsi="Arial" w:cs="Arial"/>
          <w:b/>
          <w:sz w:val="24"/>
          <w:szCs w:val="24"/>
        </w:rPr>
      </w:pPr>
      <w:r w:rsidRPr="006C074A">
        <w:rPr>
          <w:rFonts w:ascii="Arial" w:eastAsia="Calibri" w:hAnsi="Arial" w:cs="Arial"/>
          <w:b/>
          <w:sz w:val="24"/>
          <w:szCs w:val="24"/>
        </w:rPr>
        <w:t>Materiales y Métodos</w:t>
      </w:r>
    </w:p>
    <w:p w:rsidR="00ED3891" w:rsidRPr="006C074A" w:rsidRDefault="00ED3891" w:rsidP="00ED3891">
      <w:pPr>
        <w:jc w:val="both"/>
        <w:rPr>
          <w:rFonts w:ascii="Arial" w:eastAsia="Calibri" w:hAnsi="Arial" w:cs="Arial"/>
          <w:sz w:val="24"/>
          <w:szCs w:val="24"/>
        </w:rPr>
      </w:pPr>
      <w:r w:rsidRPr="006C074A">
        <w:rPr>
          <w:rFonts w:ascii="Arial" w:eastAsia="Calibri" w:hAnsi="Arial" w:cs="Arial"/>
          <w:sz w:val="24"/>
          <w:szCs w:val="24"/>
        </w:rPr>
        <w:t>La metodología experimental consta de las siguientes etapas: síntesis de los catalizadores, caracterización y evaluación fotocatalítica de los mismos. La obtención del catalizador (puro e impurificado) se realizó vía microondas en un Synthos 3000, potencia de 600W, temperatura de reacción (180°C), rampa de calentamiento (10min), el tiempo de reacción (10min). Seguido por un tiempo de enfriamiento de aproximadamente 15min.  Los reactivos utilizados: alcohol etílico (CH</w:t>
      </w:r>
      <w:r w:rsidRPr="006C074A">
        <w:rPr>
          <w:rFonts w:ascii="Arial" w:eastAsia="Calibri" w:hAnsi="Arial" w:cs="Arial"/>
          <w:sz w:val="24"/>
          <w:szCs w:val="24"/>
          <w:vertAlign w:val="subscript"/>
        </w:rPr>
        <w:t>3</w:t>
      </w:r>
      <w:r w:rsidRPr="006C074A">
        <w:rPr>
          <w:rFonts w:ascii="Arial" w:eastAsia="Calibri" w:hAnsi="Arial" w:cs="Arial"/>
          <w:sz w:val="24"/>
          <w:szCs w:val="24"/>
        </w:rPr>
        <w:t>-CH</w:t>
      </w:r>
      <w:r w:rsidRPr="006C074A">
        <w:rPr>
          <w:rFonts w:ascii="Arial" w:eastAsia="Calibri" w:hAnsi="Arial" w:cs="Arial"/>
          <w:sz w:val="24"/>
          <w:szCs w:val="24"/>
          <w:vertAlign w:val="subscript"/>
        </w:rPr>
        <w:t>2</w:t>
      </w:r>
      <w:r w:rsidRPr="006C074A">
        <w:rPr>
          <w:rFonts w:ascii="Arial" w:eastAsia="Calibri" w:hAnsi="Arial" w:cs="Arial"/>
          <w:sz w:val="24"/>
          <w:szCs w:val="24"/>
        </w:rPr>
        <w:t>-OH), butóxido de titanio (Ti(OCH</w:t>
      </w:r>
      <w:r w:rsidRPr="006C074A">
        <w:rPr>
          <w:rFonts w:ascii="Arial" w:eastAsia="Calibri" w:hAnsi="Arial" w:cs="Arial"/>
          <w:sz w:val="24"/>
          <w:szCs w:val="24"/>
          <w:vertAlign w:val="subscript"/>
        </w:rPr>
        <w:t>2</w:t>
      </w:r>
      <w:r w:rsidRPr="006C074A">
        <w:rPr>
          <w:rFonts w:ascii="Arial" w:eastAsia="Calibri" w:hAnsi="Arial" w:cs="Arial"/>
          <w:sz w:val="24"/>
          <w:szCs w:val="24"/>
        </w:rPr>
        <w:t>-CH</w:t>
      </w:r>
      <w:r w:rsidRPr="006C074A">
        <w:rPr>
          <w:rFonts w:ascii="Arial" w:eastAsia="Calibri" w:hAnsi="Arial" w:cs="Arial"/>
          <w:sz w:val="24"/>
          <w:szCs w:val="24"/>
          <w:vertAlign w:val="subscript"/>
        </w:rPr>
        <w:t>2</w:t>
      </w:r>
      <w:r w:rsidRPr="006C074A">
        <w:rPr>
          <w:rFonts w:ascii="Arial" w:eastAsia="Calibri" w:hAnsi="Arial" w:cs="Arial"/>
          <w:sz w:val="24"/>
          <w:szCs w:val="24"/>
        </w:rPr>
        <w:t>-CH</w:t>
      </w:r>
      <w:r w:rsidRPr="006C074A">
        <w:rPr>
          <w:rFonts w:ascii="Arial" w:eastAsia="Calibri" w:hAnsi="Arial" w:cs="Arial"/>
          <w:sz w:val="24"/>
          <w:szCs w:val="24"/>
          <w:vertAlign w:val="subscript"/>
        </w:rPr>
        <w:t>2</w:t>
      </w:r>
      <w:r w:rsidRPr="006C074A">
        <w:rPr>
          <w:rFonts w:ascii="Arial" w:eastAsia="Calibri" w:hAnsi="Arial" w:cs="Arial"/>
          <w:sz w:val="24"/>
          <w:szCs w:val="24"/>
        </w:rPr>
        <w:t>CH</w:t>
      </w:r>
      <w:r w:rsidRPr="006C074A">
        <w:rPr>
          <w:rFonts w:ascii="Arial" w:eastAsia="Calibri" w:hAnsi="Arial" w:cs="Arial"/>
          <w:sz w:val="24"/>
          <w:szCs w:val="24"/>
          <w:vertAlign w:val="subscript"/>
        </w:rPr>
        <w:t>3</w:t>
      </w:r>
      <w:r w:rsidRPr="006C074A">
        <w:rPr>
          <w:rFonts w:ascii="Arial" w:eastAsia="Calibri" w:hAnsi="Arial" w:cs="Arial"/>
          <w:sz w:val="24"/>
          <w:szCs w:val="24"/>
        </w:rPr>
        <w:t>)</w:t>
      </w:r>
      <w:r w:rsidRPr="006C074A">
        <w:rPr>
          <w:rFonts w:ascii="Arial" w:eastAsia="Calibri" w:hAnsi="Arial" w:cs="Arial"/>
          <w:sz w:val="24"/>
          <w:szCs w:val="24"/>
          <w:vertAlign w:val="subscript"/>
        </w:rPr>
        <w:t>4</w:t>
      </w:r>
      <w:r w:rsidRPr="006C074A">
        <w:rPr>
          <w:rFonts w:ascii="Arial" w:eastAsia="Calibri" w:hAnsi="Arial" w:cs="Arial"/>
          <w:sz w:val="24"/>
          <w:szCs w:val="24"/>
        </w:rPr>
        <w:t xml:space="preserve">), agua </w:t>
      </w:r>
      <w:r w:rsidRPr="006C074A">
        <w:rPr>
          <w:rFonts w:ascii="Arial" w:eastAsia="Calibri" w:hAnsi="Arial" w:cs="Arial"/>
          <w:sz w:val="24"/>
          <w:szCs w:val="24"/>
        </w:rPr>
        <w:lastRenderedPageBreak/>
        <w:t>desionizada (H</w:t>
      </w:r>
      <w:r w:rsidRPr="006C074A">
        <w:rPr>
          <w:rFonts w:ascii="Arial" w:eastAsia="Calibri" w:hAnsi="Arial" w:cs="Arial"/>
          <w:sz w:val="24"/>
          <w:szCs w:val="24"/>
          <w:vertAlign w:val="subscript"/>
        </w:rPr>
        <w:t>2</w:t>
      </w:r>
      <w:r w:rsidRPr="006C074A">
        <w:rPr>
          <w:rFonts w:ascii="Arial" w:eastAsia="Calibri" w:hAnsi="Arial" w:cs="Arial"/>
          <w:sz w:val="24"/>
          <w:szCs w:val="24"/>
        </w:rPr>
        <w:t xml:space="preserve">O), Sales de los metales: Fe, Ni y Cu. Posteriormente se seca a 100°C por 24 h, y su calcinación  a 400, 500, 600 y 700°C.  Los porcentajes másicos de agente para la impurificación (de metales) empleados fueron: 0 (blanco) y las cantidades másicas usadas de los compuestos precursores para la impurificación se especifican en las Tablas 1-3. </w:t>
      </w:r>
    </w:p>
    <w:p w:rsidR="00ED3891" w:rsidRDefault="00ED3891" w:rsidP="00ED3891">
      <w:pPr>
        <w:spacing w:after="0"/>
        <w:jc w:val="center"/>
        <w:rPr>
          <w:rFonts w:ascii="Arial" w:eastAsia="Times New Roman" w:hAnsi="Arial" w:cs="Arial"/>
          <w:sz w:val="24"/>
          <w:szCs w:val="24"/>
        </w:rPr>
      </w:pPr>
      <w:r w:rsidRPr="006C074A">
        <w:rPr>
          <w:rFonts w:ascii="Arial" w:eastAsia="Times New Roman" w:hAnsi="Arial" w:cs="Arial"/>
          <w:b/>
          <w:bCs/>
          <w:sz w:val="24"/>
          <w:szCs w:val="24"/>
        </w:rPr>
        <w:t xml:space="preserve">Tabla </w:t>
      </w:r>
      <w:r w:rsidRPr="006C074A">
        <w:rPr>
          <w:rFonts w:ascii="Arial" w:eastAsia="Times New Roman" w:hAnsi="Arial" w:cs="Arial"/>
          <w:b/>
          <w:bCs/>
          <w:color w:val="000000"/>
          <w:sz w:val="24"/>
          <w:szCs w:val="24"/>
        </w:rPr>
        <w:t>1.</w:t>
      </w:r>
      <w:r w:rsidRPr="006C074A">
        <w:rPr>
          <w:rFonts w:ascii="Arial" w:eastAsia="Times New Roman" w:hAnsi="Arial" w:cs="Arial"/>
          <w:sz w:val="24"/>
          <w:szCs w:val="24"/>
        </w:rPr>
        <w:t xml:space="preserve"> Cantidades de Fe(NO</w:t>
      </w:r>
      <w:r w:rsidRPr="006C074A">
        <w:rPr>
          <w:rFonts w:ascii="Arial" w:eastAsia="Times New Roman" w:hAnsi="Arial" w:cs="Arial"/>
          <w:sz w:val="24"/>
          <w:szCs w:val="24"/>
          <w:vertAlign w:val="subscript"/>
        </w:rPr>
        <w:t>3</w:t>
      </w:r>
      <w:r w:rsidRPr="006C074A">
        <w:rPr>
          <w:rFonts w:ascii="Arial" w:eastAsia="Times New Roman" w:hAnsi="Arial" w:cs="Arial"/>
          <w:sz w:val="24"/>
          <w:szCs w:val="24"/>
        </w:rPr>
        <w:t>)</w:t>
      </w:r>
      <w:r w:rsidRPr="006C074A">
        <w:rPr>
          <w:rFonts w:ascii="Arial" w:eastAsia="Times New Roman" w:hAnsi="Arial" w:cs="Arial"/>
          <w:sz w:val="24"/>
          <w:szCs w:val="24"/>
          <w:vertAlign w:val="subscript"/>
        </w:rPr>
        <w:t>3</w:t>
      </w:r>
      <w:r w:rsidRPr="006C074A">
        <w:rPr>
          <w:rFonts w:ascii="Arial" w:eastAsia="Times New Roman" w:hAnsi="Arial" w:cs="Arial"/>
          <w:sz w:val="24"/>
          <w:szCs w:val="24"/>
        </w:rPr>
        <w:t>•9H</w:t>
      </w:r>
      <w:r w:rsidRPr="006C074A">
        <w:rPr>
          <w:rFonts w:ascii="Arial" w:eastAsia="Times New Roman" w:hAnsi="Arial" w:cs="Arial"/>
          <w:sz w:val="24"/>
          <w:szCs w:val="24"/>
          <w:vertAlign w:val="subscript"/>
        </w:rPr>
        <w:t>2</w:t>
      </w:r>
      <w:r w:rsidRPr="006C074A">
        <w:rPr>
          <w:rFonts w:ascii="Arial" w:eastAsia="Times New Roman" w:hAnsi="Arial" w:cs="Arial"/>
          <w:sz w:val="24"/>
          <w:szCs w:val="24"/>
        </w:rPr>
        <w:t>O,  síntesis de catalizadores de Fe-TiO</w:t>
      </w:r>
      <w:r w:rsidRPr="006C074A">
        <w:rPr>
          <w:rFonts w:ascii="Arial" w:eastAsia="Times New Roman" w:hAnsi="Arial" w:cs="Arial"/>
          <w:sz w:val="24"/>
          <w:szCs w:val="24"/>
          <w:vertAlign w:val="subscript"/>
        </w:rPr>
        <w:t>2</w:t>
      </w:r>
      <w:r w:rsidRPr="006C074A">
        <w:rPr>
          <w:rFonts w:ascii="Arial" w:eastAsia="Times New Roman" w:hAnsi="Arial" w:cs="Arial"/>
          <w:sz w:val="24"/>
          <w:szCs w:val="24"/>
        </w:rPr>
        <w:t>.</w:t>
      </w:r>
    </w:p>
    <w:p w:rsidR="004E4E19" w:rsidRPr="006C074A" w:rsidRDefault="004E4E19" w:rsidP="00ED3891">
      <w:pPr>
        <w:spacing w:after="0"/>
        <w:jc w:val="center"/>
        <w:rPr>
          <w:rFonts w:ascii="Arial" w:eastAsia="Times New Roman" w:hAnsi="Arial" w:cs="Arial"/>
          <w:sz w:val="24"/>
          <w:szCs w:val="24"/>
        </w:rPr>
      </w:pPr>
    </w:p>
    <w:tbl>
      <w:tblPr>
        <w:tblW w:w="0" w:type="auto"/>
        <w:tblInd w:w="22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984"/>
        <w:gridCol w:w="1843"/>
      </w:tblGrid>
      <w:tr w:rsidR="00ED3891" w:rsidRPr="006C074A" w:rsidTr="002808AA">
        <w:tc>
          <w:tcPr>
            <w:tcW w:w="1984" w:type="dxa"/>
          </w:tcPr>
          <w:p w:rsidR="00ED3891" w:rsidRPr="006C074A" w:rsidRDefault="00ED3891" w:rsidP="002808AA">
            <w:pPr>
              <w:spacing w:after="0" w:line="240" w:lineRule="auto"/>
              <w:jc w:val="center"/>
              <w:rPr>
                <w:rFonts w:ascii="Arial" w:eastAsia="Times New Roman" w:hAnsi="Arial" w:cs="Arial"/>
                <w:b/>
                <w:bCs/>
                <w:sz w:val="24"/>
                <w:szCs w:val="24"/>
              </w:rPr>
            </w:pPr>
            <w:r w:rsidRPr="006C074A">
              <w:rPr>
                <w:rFonts w:ascii="Arial" w:eastAsia="Times New Roman" w:hAnsi="Arial" w:cs="Arial"/>
                <w:b/>
                <w:bCs/>
                <w:sz w:val="24"/>
                <w:szCs w:val="24"/>
              </w:rPr>
              <w:t>% mol Fe-TiO</w:t>
            </w:r>
            <w:r w:rsidRPr="006C074A">
              <w:rPr>
                <w:rFonts w:ascii="Arial" w:eastAsia="Times New Roman" w:hAnsi="Arial" w:cs="Arial"/>
                <w:b/>
                <w:bCs/>
                <w:sz w:val="24"/>
                <w:szCs w:val="24"/>
                <w:vertAlign w:val="subscript"/>
              </w:rPr>
              <w:t>2</w:t>
            </w:r>
          </w:p>
        </w:tc>
        <w:tc>
          <w:tcPr>
            <w:tcW w:w="1843" w:type="dxa"/>
          </w:tcPr>
          <w:p w:rsidR="00ED3891" w:rsidRPr="006C074A" w:rsidRDefault="00ED3891" w:rsidP="002808AA">
            <w:pPr>
              <w:spacing w:after="0" w:line="240" w:lineRule="auto"/>
              <w:jc w:val="center"/>
              <w:rPr>
                <w:rFonts w:ascii="Arial" w:eastAsia="Times New Roman" w:hAnsi="Arial" w:cs="Arial"/>
                <w:b/>
                <w:bCs/>
                <w:sz w:val="24"/>
                <w:szCs w:val="24"/>
              </w:rPr>
            </w:pPr>
            <w:r w:rsidRPr="006C074A">
              <w:rPr>
                <w:rFonts w:ascii="Arial" w:eastAsia="Times New Roman" w:hAnsi="Arial" w:cs="Arial"/>
                <w:b/>
                <w:bCs/>
                <w:sz w:val="24"/>
                <w:szCs w:val="24"/>
              </w:rPr>
              <w:t>% másico TiO</w:t>
            </w:r>
            <w:r w:rsidRPr="006C074A">
              <w:rPr>
                <w:rFonts w:ascii="Arial" w:eastAsia="Times New Roman" w:hAnsi="Arial" w:cs="Arial"/>
                <w:b/>
                <w:bCs/>
                <w:sz w:val="24"/>
                <w:szCs w:val="24"/>
                <w:vertAlign w:val="subscript"/>
              </w:rPr>
              <w:t>2</w:t>
            </w:r>
          </w:p>
        </w:tc>
      </w:tr>
      <w:tr w:rsidR="00ED3891" w:rsidRPr="006C074A" w:rsidTr="002808AA">
        <w:tc>
          <w:tcPr>
            <w:tcW w:w="1984"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TiO</w:t>
            </w:r>
            <w:r w:rsidRPr="006C074A">
              <w:rPr>
                <w:rFonts w:ascii="Arial" w:eastAsia="Times New Roman" w:hAnsi="Arial" w:cs="Arial"/>
                <w:b/>
                <w:sz w:val="24"/>
                <w:szCs w:val="24"/>
                <w:vertAlign w:val="subscript"/>
              </w:rPr>
              <w:t>2</w:t>
            </w:r>
            <w:r w:rsidRPr="006C074A">
              <w:rPr>
                <w:rFonts w:ascii="Arial" w:eastAsia="Times New Roman" w:hAnsi="Arial" w:cs="Arial"/>
                <w:b/>
                <w:sz w:val="24"/>
                <w:szCs w:val="24"/>
              </w:rPr>
              <w:t xml:space="preserve"> puro</w:t>
            </w:r>
          </w:p>
        </w:tc>
        <w:tc>
          <w:tcPr>
            <w:tcW w:w="1843"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100</w:t>
            </w:r>
          </w:p>
        </w:tc>
      </w:tr>
      <w:tr w:rsidR="00ED3891" w:rsidRPr="006C074A" w:rsidTr="002808AA">
        <w:tc>
          <w:tcPr>
            <w:tcW w:w="1984"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0.05%</w:t>
            </w:r>
          </w:p>
        </w:tc>
        <w:tc>
          <w:tcPr>
            <w:tcW w:w="1843"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99.05</w:t>
            </w:r>
          </w:p>
        </w:tc>
      </w:tr>
      <w:tr w:rsidR="00ED3891" w:rsidRPr="006C074A" w:rsidTr="002808AA">
        <w:tc>
          <w:tcPr>
            <w:tcW w:w="1984"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0.10%</w:t>
            </w:r>
          </w:p>
        </w:tc>
        <w:tc>
          <w:tcPr>
            <w:tcW w:w="1843"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99.90</w:t>
            </w:r>
          </w:p>
        </w:tc>
      </w:tr>
      <w:tr w:rsidR="00ED3891" w:rsidRPr="006C074A" w:rsidTr="002808AA">
        <w:tc>
          <w:tcPr>
            <w:tcW w:w="1984"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1.4245%</w:t>
            </w:r>
          </w:p>
        </w:tc>
        <w:tc>
          <w:tcPr>
            <w:tcW w:w="1843" w:type="dxa"/>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98.5755</w:t>
            </w:r>
          </w:p>
        </w:tc>
      </w:tr>
    </w:tbl>
    <w:p w:rsidR="00ED3891" w:rsidRPr="006C074A" w:rsidRDefault="00ED3891" w:rsidP="00ED3891">
      <w:pPr>
        <w:jc w:val="both"/>
        <w:rPr>
          <w:rFonts w:ascii="Arial" w:eastAsia="Calibri" w:hAnsi="Arial" w:cs="Arial"/>
          <w:b/>
          <w:sz w:val="24"/>
          <w:szCs w:val="24"/>
        </w:rPr>
      </w:pPr>
    </w:p>
    <w:p w:rsidR="00ED3891" w:rsidRPr="006C074A" w:rsidRDefault="00ED3891" w:rsidP="006C074A">
      <w:pPr>
        <w:jc w:val="both"/>
        <w:rPr>
          <w:rFonts w:ascii="Arial" w:eastAsia="Times New Roman" w:hAnsi="Arial" w:cs="Arial"/>
          <w:sz w:val="24"/>
          <w:szCs w:val="24"/>
          <w:vertAlign w:val="subscript"/>
        </w:rPr>
      </w:pPr>
      <w:r w:rsidRPr="006C074A">
        <w:rPr>
          <w:rFonts w:ascii="Arial" w:eastAsia="Calibri" w:hAnsi="Arial" w:cs="Arial"/>
          <w:b/>
          <w:sz w:val="24"/>
          <w:szCs w:val="24"/>
        </w:rPr>
        <w:t>Tabla 2.</w:t>
      </w:r>
      <w:r w:rsidRPr="006C074A">
        <w:rPr>
          <w:rFonts w:ascii="Arial" w:eastAsia="Calibri" w:hAnsi="Arial" w:cs="Arial"/>
          <w:sz w:val="24"/>
          <w:szCs w:val="24"/>
        </w:rPr>
        <w:t xml:space="preserve"> Cantidades de  </w:t>
      </w:r>
      <w:r w:rsidRPr="006C074A">
        <w:rPr>
          <w:rFonts w:ascii="Arial" w:eastAsia="Calibri" w:hAnsi="Arial" w:cs="Arial"/>
          <w:bCs/>
          <w:color w:val="000000"/>
          <w:sz w:val="24"/>
          <w:szCs w:val="24"/>
        </w:rPr>
        <w:t>Ni(NO</w:t>
      </w:r>
      <w:r w:rsidRPr="006C074A">
        <w:rPr>
          <w:rFonts w:ascii="Arial" w:eastAsia="Calibri" w:hAnsi="Arial" w:cs="Arial"/>
          <w:bCs/>
          <w:color w:val="000000"/>
          <w:sz w:val="24"/>
          <w:szCs w:val="24"/>
          <w:vertAlign w:val="subscript"/>
        </w:rPr>
        <w:t>3</w:t>
      </w:r>
      <w:r w:rsidRPr="006C074A">
        <w:rPr>
          <w:rFonts w:ascii="Arial" w:eastAsia="Calibri" w:hAnsi="Arial" w:cs="Arial"/>
          <w:bCs/>
          <w:color w:val="000000"/>
          <w:sz w:val="24"/>
          <w:szCs w:val="24"/>
        </w:rPr>
        <w:t>)</w:t>
      </w:r>
      <w:r w:rsidRPr="006C074A">
        <w:rPr>
          <w:rFonts w:ascii="Arial" w:eastAsia="Calibri" w:hAnsi="Arial" w:cs="Arial"/>
          <w:bCs/>
          <w:color w:val="000000"/>
          <w:sz w:val="24"/>
          <w:szCs w:val="24"/>
          <w:vertAlign w:val="subscript"/>
        </w:rPr>
        <w:t>2</w:t>
      </w:r>
      <w:r w:rsidRPr="006C074A">
        <w:rPr>
          <w:rFonts w:ascii="Arial" w:eastAsia="Calibri" w:hAnsi="Arial" w:cs="Arial"/>
          <w:bCs/>
          <w:color w:val="000000"/>
          <w:sz w:val="24"/>
          <w:szCs w:val="24"/>
        </w:rPr>
        <w:t>•6H</w:t>
      </w:r>
      <w:r w:rsidRPr="006C074A">
        <w:rPr>
          <w:rFonts w:ascii="Arial" w:eastAsia="Calibri" w:hAnsi="Arial" w:cs="Arial"/>
          <w:bCs/>
          <w:color w:val="000000"/>
          <w:sz w:val="24"/>
          <w:szCs w:val="24"/>
          <w:vertAlign w:val="subscript"/>
        </w:rPr>
        <w:t>2</w:t>
      </w:r>
      <w:r w:rsidRPr="006C074A">
        <w:rPr>
          <w:rFonts w:ascii="Arial" w:eastAsia="Calibri" w:hAnsi="Arial" w:cs="Arial"/>
          <w:bCs/>
          <w:color w:val="000000"/>
          <w:sz w:val="24"/>
          <w:szCs w:val="24"/>
        </w:rPr>
        <w:t>O,</w:t>
      </w:r>
      <w:r w:rsidRPr="006C074A">
        <w:rPr>
          <w:rFonts w:ascii="Arial" w:eastAsia="Calibri" w:hAnsi="Arial" w:cs="Arial"/>
          <w:sz w:val="24"/>
          <w:szCs w:val="24"/>
        </w:rPr>
        <w:t xml:space="preserve"> </w:t>
      </w:r>
      <w:r w:rsidRPr="006C074A">
        <w:rPr>
          <w:rFonts w:ascii="Arial" w:eastAsia="Times New Roman" w:hAnsi="Arial" w:cs="Arial"/>
          <w:sz w:val="24"/>
          <w:szCs w:val="24"/>
        </w:rPr>
        <w:t>síntesis de catalizadores de Ni-TiO</w:t>
      </w:r>
      <w:r w:rsidRPr="006C074A">
        <w:rPr>
          <w:rFonts w:ascii="Arial" w:eastAsia="Times New Roman" w:hAnsi="Arial" w:cs="Arial"/>
          <w:sz w:val="24"/>
          <w:szCs w:val="24"/>
          <w:vertAlign w:val="subscript"/>
        </w:rPr>
        <w:t>2</w:t>
      </w:r>
    </w:p>
    <w:tbl>
      <w:tblPr>
        <w:tblW w:w="0" w:type="auto"/>
        <w:tblInd w:w="23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843"/>
        <w:gridCol w:w="1843"/>
      </w:tblGrid>
      <w:tr w:rsidR="00ED3891" w:rsidRPr="006C074A" w:rsidTr="002808AA">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bCs/>
                <w:sz w:val="24"/>
                <w:szCs w:val="24"/>
              </w:rPr>
            </w:pPr>
            <w:r w:rsidRPr="006C074A">
              <w:rPr>
                <w:rFonts w:ascii="Arial" w:eastAsia="Times New Roman" w:hAnsi="Arial" w:cs="Arial"/>
                <w:b/>
                <w:bCs/>
                <w:sz w:val="24"/>
                <w:szCs w:val="24"/>
              </w:rPr>
              <w:t>% mol Ni-TiO</w:t>
            </w:r>
            <w:r w:rsidRPr="006C074A">
              <w:rPr>
                <w:rFonts w:ascii="Arial" w:eastAsia="Times New Roman" w:hAnsi="Arial" w:cs="Arial"/>
                <w:b/>
                <w:bCs/>
                <w:sz w:val="24"/>
                <w:szCs w:val="24"/>
                <w:vertAlign w:val="subscript"/>
              </w:rPr>
              <w:t>2</w:t>
            </w:r>
          </w:p>
        </w:tc>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bCs/>
                <w:sz w:val="24"/>
                <w:szCs w:val="24"/>
              </w:rPr>
            </w:pPr>
            <w:r w:rsidRPr="006C074A">
              <w:rPr>
                <w:rFonts w:ascii="Arial" w:eastAsia="Times New Roman" w:hAnsi="Arial" w:cs="Arial"/>
                <w:b/>
                <w:bCs/>
                <w:sz w:val="24"/>
                <w:szCs w:val="24"/>
              </w:rPr>
              <w:t>% másico TiO</w:t>
            </w:r>
            <w:r w:rsidRPr="006C074A">
              <w:rPr>
                <w:rFonts w:ascii="Arial" w:eastAsia="Times New Roman" w:hAnsi="Arial" w:cs="Arial"/>
                <w:b/>
                <w:bCs/>
                <w:sz w:val="24"/>
                <w:szCs w:val="24"/>
                <w:vertAlign w:val="subscript"/>
              </w:rPr>
              <w:t>2</w:t>
            </w:r>
          </w:p>
        </w:tc>
      </w:tr>
      <w:tr w:rsidR="00ED3891" w:rsidRPr="006C074A" w:rsidTr="002808AA">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TiO</w:t>
            </w:r>
            <w:r w:rsidRPr="006C074A">
              <w:rPr>
                <w:rFonts w:ascii="Arial" w:eastAsia="Times New Roman" w:hAnsi="Arial" w:cs="Arial"/>
                <w:b/>
                <w:sz w:val="24"/>
                <w:szCs w:val="24"/>
                <w:vertAlign w:val="subscript"/>
              </w:rPr>
              <w:t>2</w:t>
            </w:r>
            <w:r w:rsidRPr="006C074A">
              <w:rPr>
                <w:rFonts w:ascii="Arial" w:eastAsia="Times New Roman" w:hAnsi="Arial" w:cs="Arial"/>
                <w:b/>
                <w:sz w:val="24"/>
                <w:szCs w:val="24"/>
              </w:rPr>
              <w:t xml:space="preserve"> puro</w:t>
            </w:r>
          </w:p>
        </w:tc>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100</w:t>
            </w:r>
          </w:p>
        </w:tc>
      </w:tr>
      <w:tr w:rsidR="00ED3891" w:rsidRPr="006C074A" w:rsidTr="002808AA">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0.05%</w:t>
            </w:r>
          </w:p>
        </w:tc>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99.05</w:t>
            </w:r>
          </w:p>
        </w:tc>
      </w:tr>
      <w:tr w:rsidR="00ED3891" w:rsidRPr="006C074A" w:rsidTr="002808AA">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0.25%</w:t>
            </w:r>
          </w:p>
        </w:tc>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99.75</w:t>
            </w:r>
          </w:p>
        </w:tc>
      </w:tr>
      <w:tr w:rsidR="00ED3891" w:rsidRPr="006C074A" w:rsidTr="002808AA">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1%</w:t>
            </w:r>
          </w:p>
        </w:tc>
        <w:tc>
          <w:tcPr>
            <w:tcW w:w="1843" w:type="dxa"/>
            <w:shd w:val="clear" w:color="auto" w:fill="auto"/>
          </w:tcPr>
          <w:p w:rsidR="00ED3891" w:rsidRPr="006C074A" w:rsidRDefault="00ED3891" w:rsidP="002808AA">
            <w:pPr>
              <w:spacing w:after="0" w:line="240" w:lineRule="auto"/>
              <w:jc w:val="center"/>
              <w:rPr>
                <w:rFonts w:ascii="Arial" w:eastAsia="Times New Roman" w:hAnsi="Arial" w:cs="Arial"/>
                <w:b/>
                <w:sz w:val="24"/>
                <w:szCs w:val="24"/>
              </w:rPr>
            </w:pPr>
            <w:r w:rsidRPr="006C074A">
              <w:rPr>
                <w:rFonts w:ascii="Arial" w:eastAsia="Times New Roman" w:hAnsi="Arial" w:cs="Arial"/>
                <w:b/>
                <w:sz w:val="24"/>
                <w:szCs w:val="24"/>
              </w:rPr>
              <w:t>99.00</w:t>
            </w:r>
          </w:p>
        </w:tc>
      </w:tr>
    </w:tbl>
    <w:p w:rsidR="00ED3891" w:rsidRPr="006C074A" w:rsidRDefault="00ED3891" w:rsidP="00ED3891">
      <w:pPr>
        <w:spacing w:after="0"/>
        <w:jc w:val="center"/>
        <w:rPr>
          <w:rFonts w:ascii="Arial" w:eastAsia="Calibri" w:hAnsi="Arial" w:cs="Arial"/>
          <w:sz w:val="24"/>
          <w:szCs w:val="24"/>
        </w:rPr>
      </w:pPr>
    </w:p>
    <w:p w:rsidR="00ED3891" w:rsidRPr="006C074A" w:rsidRDefault="00ED3891" w:rsidP="00ED3891">
      <w:pPr>
        <w:spacing w:after="0"/>
        <w:jc w:val="center"/>
        <w:rPr>
          <w:rFonts w:ascii="Arial" w:eastAsia="Calibri" w:hAnsi="Arial" w:cs="Arial"/>
          <w:sz w:val="24"/>
          <w:szCs w:val="24"/>
        </w:rPr>
      </w:pPr>
      <w:r w:rsidRPr="006C074A">
        <w:rPr>
          <w:rFonts w:ascii="Arial" w:eastAsia="Calibri" w:hAnsi="Arial" w:cs="Arial"/>
          <w:b/>
          <w:sz w:val="24"/>
          <w:szCs w:val="24"/>
        </w:rPr>
        <w:t xml:space="preserve">Tabla 3. </w:t>
      </w:r>
      <w:r w:rsidRPr="006C074A">
        <w:rPr>
          <w:rFonts w:ascii="Arial" w:eastAsia="Calibri" w:hAnsi="Arial" w:cs="Arial"/>
          <w:sz w:val="24"/>
          <w:szCs w:val="24"/>
        </w:rPr>
        <w:t>Cantidades de Cu(NO</w:t>
      </w:r>
      <w:r w:rsidRPr="006C074A">
        <w:rPr>
          <w:rFonts w:ascii="Arial" w:eastAsia="Calibri" w:hAnsi="Arial" w:cs="Arial"/>
          <w:sz w:val="24"/>
          <w:szCs w:val="24"/>
          <w:vertAlign w:val="subscript"/>
        </w:rPr>
        <w:t>3</w:t>
      </w:r>
      <w:r w:rsidRPr="006C074A">
        <w:rPr>
          <w:rFonts w:ascii="Arial" w:eastAsia="Calibri" w:hAnsi="Arial" w:cs="Arial"/>
          <w:sz w:val="24"/>
          <w:szCs w:val="24"/>
        </w:rPr>
        <w:t>)</w:t>
      </w:r>
      <w:r w:rsidRPr="006C074A">
        <w:rPr>
          <w:rFonts w:ascii="Arial" w:eastAsia="Calibri" w:hAnsi="Arial" w:cs="Arial"/>
          <w:sz w:val="24"/>
          <w:szCs w:val="24"/>
          <w:vertAlign w:val="subscript"/>
        </w:rPr>
        <w:t>2</w:t>
      </w:r>
      <w:r w:rsidRPr="006C074A">
        <w:rPr>
          <w:rFonts w:ascii="Arial" w:eastAsia="Calibri" w:hAnsi="Arial" w:cs="Arial"/>
          <w:sz w:val="24"/>
          <w:szCs w:val="24"/>
        </w:rPr>
        <w:t>*2.5H</w:t>
      </w:r>
      <w:r w:rsidRPr="006C074A">
        <w:rPr>
          <w:rFonts w:ascii="Arial" w:eastAsia="Calibri" w:hAnsi="Arial" w:cs="Arial"/>
          <w:sz w:val="24"/>
          <w:szCs w:val="24"/>
          <w:vertAlign w:val="subscript"/>
        </w:rPr>
        <w:t>2</w:t>
      </w:r>
      <w:r w:rsidRPr="006C074A">
        <w:rPr>
          <w:rFonts w:ascii="Arial" w:eastAsia="Calibri" w:hAnsi="Arial" w:cs="Arial"/>
          <w:sz w:val="24"/>
          <w:szCs w:val="24"/>
        </w:rPr>
        <w:t>O, síntesis de catalizadores de Cu-TiO</w:t>
      </w:r>
      <w:r w:rsidRPr="006C074A">
        <w:rPr>
          <w:rFonts w:ascii="Arial" w:eastAsia="Calibri" w:hAnsi="Arial" w:cs="Arial"/>
          <w:sz w:val="24"/>
          <w:szCs w:val="24"/>
          <w:vertAlign w:val="subscript"/>
        </w:rPr>
        <w:t>2</w:t>
      </w:r>
      <w:r w:rsidRPr="006C074A">
        <w:rPr>
          <w:rFonts w:ascii="Arial" w:eastAsia="Calibri" w:hAnsi="Arial" w:cs="Arial"/>
          <w:sz w:val="24"/>
          <w:szCs w:val="24"/>
        </w:rPr>
        <w:t>.</w:t>
      </w:r>
    </w:p>
    <w:tbl>
      <w:tblPr>
        <w:tblW w:w="0" w:type="auto"/>
        <w:tblInd w:w="23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46"/>
        <w:gridCol w:w="1740"/>
      </w:tblGrid>
      <w:tr w:rsidR="00ED3891" w:rsidRPr="006C074A" w:rsidTr="002808AA">
        <w:tc>
          <w:tcPr>
            <w:tcW w:w="1946"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bCs/>
                <w:sz w:val="24"/>
                <w:szCs w:val="24"/>
              </w:rPr>
              <w:t>% mol Cu-TiO</w:t>
            </w:r>
            <w:r w:rsidRPr="006C074A">
              <w:rPr>
                <w:rFonts w:ascii="Arial" w:eastAsia="Calibri" w:hAnsi="Arial" w:cs="Arial"/>
                <w:b/>
                <w:bCs/>
                <w:sz w:val="24"/>
                <w:szCs w:val="24"/>
                <w:vertAlign w:val="subscript"/>
              </w:rPr>
              <w:t>2</w:t>
            </w:r>
          </w:p>
        </w:tc>
        <w:tc>
          <w:tcPr>
            <w:tcW w:w="1740"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bCs/>
                <w:sz w:val="24"/>
                <w:szCs w:val="24"/>
              </w:rPr>
              <w:t>% másico TiO</w:t>
            </w:r>
            <w:r w:rsidRPr="006C074A">
              <w:rPr>
                <w:rFonts w:ascii="Arial" w:eastAsia="Calibri" w:hAnsi="Arial" w:cs="Arial"/>
                <w:b/>
                <w:bCs/>
                <w:sz w:val="24"/>
                <w:szCs w:val="24"/>
                <w:vertAlign w:val="subscript"/>
              </w:rPr>
              <w:t>2</w:t>
            </w:r>
          </w:p>
        </w:tc>
      </w:tr>
      <w:tr w:rsidR="00ED3891" w:rsidRPr="006C074A" w:rsidTr="002808AA">
        <w:tc>
          <w:tcPr>
            <w:tcW w:w="1946"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1.31%</w:t>
            </w:r>
          </w:p>
        </w:tc>
        <w:tc>
          <w:tcPr>
            <w:tcW w:w="1740"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98.69</w:t>
            </w:r>
          </w:p>
        </w:tc>
      </w:tr>
      <w:tr w:rsidR="00ED3891" w:rsidRPr="006C074A" w:rsidTr="002808AA">
        <w:tc>
          <w:tcPr>
            <w:tcW w:w="1946"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2.63%</w:t>
            </w:r>
          </w:p>
        </w:tc>
        <w:tc>
          <w:tcPr>
            <w:tcW w:w="1740"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97.37</w:t>
            </w:r>
          </w:p>
        </w:tc>
      </w:tr>
      <w:tr w:rsidR="00ED3891" w:rsidRPr="006C074A" w:rsidTr="002808AA">
        <w:tc>
          <w:tcPr>
            <w:tcW w:w="1946"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3.94%</w:t>
            </w:r>
          </w:p>
        </w:tc>
        <w:tc>
          <w:tcPr>
            <w:tcW w:w="1740"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96.06</w:t>
            </w:r>
          </w:p>
        </w:tc>
      </w:tr>
      <w:tr w:rsidR="00ED3891" w:rsidRPr="006C074A" w:rsidTr="002808AA">
        <w:tc>
          <w:tcPr>
            <w:tcW w:w="1946"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5.26%</w:t>
            </w:r>
          </w:p>
        </w:tc>
        <w:tc>
          <w:tcPr>
            <w:tcW w:w="1740" w:type="dxa"/>
            <w:shd w:val="clear" w:color="auto" w:fill="auto"/>
          </w:tcPr>
          <w:p w:rsidR="00ED3891" w:rsidRPr="006C074A" w:rsidRDefault="00ED3891" w:rsidP="002808AA">
            <w:pPr>
              <w:spacing w:after="0"/>
              <w:jc w:val="center"/>
              <w:rPr>
                <w:rFonts w:ascii="Arial" w:eastAsia="Calibri" w:hAnsi="Arial" w:cs="Arial"/>
                <w:b/>
                <w:sz w:val="24"/>
                <w:szCs w:val="24"/>
              </w:rPr>
            </w:pPr>
            <w:r w:rsidRPr="006C074A">
              <w:rPr>
                <w:rFonts w:ascii="Arial" w:eastAsia="Calibri" w:hAnsi="Arial" w:cs="Arial"/>
                <w:b/>
                <w:sz w:val="24"/>
                <w:szCs w:val="24"/>
              </w:rPr>
              <w:t>94.74</w:t>
            </w:r>
          </w:p>
        </w:tc>
      </w:tr>
    </w:tbl>
    <w:p w:rsidR="00ED3891" w:rsidRPr="006C074A" w:rsidRDefault="00ED3891" w:rsidP="00ED3891">
      <w:pPr>
        <w:jc w:val="both"/>
        <w:rPr>
          <w:rFonts w:ascii="Arial" w:eastAsia="Calibri" w:hAnsi="Arial" w:cs="Arial"/>
          <w:sz w:val="24"/>
          <w:szCs w:val="24"/>
        </w:rPr>
      </w:pPr>
    </w:p>
    <w:p w:rsidR="00ED3891" w:rsidRPr="006C074A" w:rsidRDefault="00ED3891" w:rsidP="00ED3891">
      <w:pPr>
        <w:jc w:val="both"/>
        <w:rPr>
          <w:rFonts w:ascii="Arial" w:eastAsia="Calibri" w:hAnsi="Arial" w:cs="Arial"/>
          <w:sz w:val="24"/>
          <w:szCs w:val="24"/>
        </w:rPr>
      </w:pPr>
      <w:r w:rsidRPr="006C074A">
        <w:rPr>
          <w:rFonts w:ascii="Arial" w:eastAsia="Calibri" w:hAnsi="Arial" w:cs="Arial"/>
          <w:sz w:val="24"/>
          <w:szCs w:val="24"/>
        </w:rPr>
        <w:t>Las técnicas de caracterización fueron: Difracción de rayos X (DRX). Microscopía electrónica de barrido (MEB). Área superficial específica. Espectroscopia de reflectancia difusa UV/Vis.  Es preciso señalar que, la caracterización por alguna técnica en particular sólo se realizó para algunos tipos de catalizadores sintetizados y no en su totalidad</w:t>
      </w:r>
      <w:r w:rsidR="004E4E19">
        <w:rPr>
          <w:rFonts w:ascii="Arial" w:eastAsia="Calibri" w:hAnsi="Arial" w:cs="Arial"/>
          <w:sz w:val="24"/>
          <w:szCs w:val="24"/>
        </w:rPr>
        <w:t xml:space="preserve"> para</w:t>
      </w:r>
      <w:r w:rsidRPr="006C074A">
        <w:rPr>
          <w:rFonts w:ascii="Arial" w:eastAsia="Calibri" w:hAnsi="Arial" w:cs="Arial"/>
          <w:sz w:val="24"/>
          <w:szCs w:val="24"/>
        </w:rPr>
        <w:t xml:space="preserve"> contar con un </w:t>
      </w:r>
      <w:r w:rsidRPr="006C074A">
        <w:rPr>
          <w:rFonts w:ascii="Arial" w:eastAsia="Calibri" w:hAnsi="Arial" w:cs="Arial"/>
          <w:sz w:val="24"/>
          <w:szCs w:val="24"/>
        </w:rPr>
        <w:lastRenderedPageBreak/>
        <w:t>mapeo general de los distintos tipos de catalizadores sintetizados y poder detallar los cambios entre uno y otro tipo de catalizador.</w:t>
      </w:r>
    </w:p>
    <w:p w:rsidR="00ED3891" w:rsidRPr="006C074A" w:rsidRDefault="00ED3891" w:rsidP="00ED3891">
      <w:pPr>
        <w:jc w:val="both"/>
        <w:rPr>
          <w:rFonts w:ascii="Arial" w:eastAsia="Calibri" w:hAnsi="Arial" w:cs="Arial"/>
          <w:sz w:val="24"/>
          <w:szCs w:val="24"/>
        </w:rPr>
      </w:pPr>
      <w:r w:rsidRPr="006C074A">
        <w:rPr>
          <w:rFonts w:ascii="Arial" w:eastAsia="Calibri" w:hAnsi="Arial" w:cs="Arial"/>
          <w:sz w:val="24"/>
          <w:szCs w:val="24"/>
        </w:rPr>
        <w:t xml:space="preserve"> </w:t>
      </w:r>
      <w:r w:rsidRPr="006C074A">
        <w:rPr>
          <w:rFonts w:ascii="Arial" w:eastAsia="Calibri" w:hAnsi="Arial" w:cs="Arial"/>
          <w:b/>
          <w:sz w:val="24"/>
          <w:szCs w:val="24"/>
        </w:rPr>
        <w:t>Análisis de Resultados</w:t>
      </w:r>
    </w:p>
    <w:p w:rsidR="00ED3891" w:rsidRPr="006C074A" w:rsidRDefault="00ED3891" w:rsidP="00ED3891">
      <w:pPr>
        <w:jc w:val="both"/>
        <w:rPr>
          <w:rFonts w:ascii="Arial" w:eastAsia="Calibri" w:hAnsi="Arial" w:cs="Arial"/>
          <w:sz w:val="24"/>
          <w:szCs w:val="24"/>
        </w:rPr>
      </w:pPr>
      <w:r w:rsidRPr="006C074A">
        <w:rPr>
          <w:rFonts w:ascii="Arial" w:eastAsia="Calibri" w:hAnsi="Arial" w:cs="Arial"/>
          <w:sz w:val="24"/>
          <w:szCs w:val="24"/>
        </w:rPr>
        <w:t>Difracción de rayos X (DRX).</w:t>
      </w:r>
      <w:r w:rsidRPr="006C074A">
        <w:rPr>
          <w:rFonts w:ascii="Arial" w:eastAsia="Calibri" w:hAnsi="Arial" w:cs="Arial"/>
          <w:b/>
          <w:sz w:val="24"/>
          <w:szCs w:val="24"/>
        </w:rPr>
        <w:t xml:space="preserve"> </w:t>
      </w:r>
      <w:r w:rsidRPr="006C074A">
        <w:rPr>
          <w:rFonts w:ascii="Arial" w:eastAsia="Calibri" w:hAnsi="Arial" w:cs="Arial"/>
          <w:sz w:val="24"/>
          <w:szCs w:val="24"/>
        </w:rPr>
        <w:t xml:space="preserve">Esta técnica identifica las fases cristalinas presentes en los catalizadores sintetizados  y ayuda a comprobar la incorporación del metal en el dióxido de titanio, mediante el desplazamiento o corrimiento del pico de mayor intensidad con respecto al óxido puro en los patrones de difracción obtenidos. Adicionalmente, se obtiene el tamaño de cristal, ecuación de Scherrer:                    </w:t>
      </w:r>
    </w:p>
    <w:p w:rsidR="00ED3891" w:rsidRPr="006C074A" w:rsidRDefault="00ED3891" w:rsidP="00ED3891">
      <w:pPr>
        <w:ind w:firstLine="708"/>
        <w:jc w:val="both"/>
        <w:rPr>
          <w:rFonts w:ascii="Arial" w:eastAsia="Calibri" w:hAnsi="Arial" w:cs="Arial"/>
          <w:b/>
          <w:sz w:val="24"/>
          <w:szCs w:val="24"/>
        </w:rPr>
      </w:pPr>
      <m:oMath>
        <m:r>
          <w:rPr>
            <w:rFonts w:ascii="Cambria Math" w:eastAsia="Calibri" w:hAnsi="Cambria Math" w:cs="Arial"/>
            <w:sz w:val="24"/>
            <w:szCs w:val="24"/>
          </w:rPr>
          <m:t>L=</m:t>
        </m:r>
        <m:f>
          <m:fPr>
            <m:ctrlPr>
              <w:rPr>
                <w:rFonts w:ascii="Cambria Math" w:eastAsia="Calibri" w:hAnsi="Cambria Math" w:cs="Arial"/>
                <w:i/>
                <w:sz w:val="24"/>
                <w:szCs w:val="24"/>
              </w:rPr>
            </m:ctrlPr>
          </m:fPr>
          <m:num>
            <m:r>
              <w:rPr>
                <w:rFonts w:ascii="Cambria Math" w:eastAsia="Calibri" w:hAnsi="Cambria Math" w:cs="Arial"/>
                <w:sz w:val="24"/>
                <w:szCs w:val="24"/>
              </w:rPr>
              <m:t>Kλ</m:t>
            </m:r>
          </m:num>
          <m:den>
            <m:r>
              <w:rPr>
                <w:rFonts w:ascii="Cambria Math" w:eastAsia="Calibri" w:hAnsi="Cambria Math" w:cs="Arial"/>
                <w:sz w:val="24"/>
                <w:szCs w:val="24"/>
              </w:rPr>
              <m:t>β</m:t>
            </m:r>
            <m:func>
              <m:funcPr>
                <m:ctrlPr>
                  <w:rPr>
                    <w:rFonts w:ascii="Cambria Math" w:eastAsia="Calibri" w:hAnsi="Cambria Math" w:cs="Arial"/>
                    <w:i/>
                    <w:sz w:val="24"/>
                    <w:szCs w:val="24"/>
                  </w:rPr>
                </m:ctrlPr>
              </m:funcPr>
              <m:fName>
                <m:r>
                  <m:rPr>
                    <m:sty m:val="p"/>
                  </m:rPr>
                  <w:rPr>
                    <w:rFonts w:ascii="Cambria Math" w:eastAsia="Calibri" w:hAnsi="Cambria Math" w:cs="Arial"/>
                    <w:sz w:val="24"/>
                    <w:szCs w:val="24"/>
                  </w:rPr>
                  <m:t>cos</m:t>
                </m:r>
              </m:fName>
              <m:e>
                <m:r>
                  <w:rPr>
                    <w:rFonts w:ascii="Cambria Math" w:eastAsia="Calibri" w:hAnsi="Cambria Math" w:cs="Arial"/>
                    <w:sz w:val="24"/>
                    <w:szCs w:val="24"/>
                  </w:rPr>
                  <m:t>θ</m:t>
                </m:r>
              </m:e>
            </m:func>
          </m:den>
        </m:f>
      </m:oMath>
      <w:r w:rsidRPr="006C074A">
        <w:rPr>
          <w:rFonts w:ascii="Arial" w:eastAsia="Calibri" w:hAnsi="Arial" w:cs="Arial"/>
          <w:sz w:val="24"/>
          <w:szCs w:val="24"/>
        </w:rPr>
        <w:tab/>
      </w:r>
      <w:r w:rsidRPr="006C074A">
        <w:rPr>
          <w:rFonts w:ascii="Arial" w:eastAsia="Calibri" w:hAnsi="Arial" w:cs="Arial"/>
          <w:sz w:val="24"/>
          <w:szCs w:val="24"/>
        </w:rPr>
        <w:tab/>
      </w:r>
      <w:r w:rsidRPr="006C074A">
        <w:rPr>
          <w:rFonts w:ascii="Arial" w:eastAsia="Calibri" w:hAnsi="Arial" w:cs="Arial"/>
          <w:sz w:val="24"/>
          <w:szCs w:val="24"/>
        </w:rPr>
        <w:tab/>
      </w:r>
      <w:r w:rsidRPr="006C074A">
        <w:rPr>
          <w:rFonts w:ascii="Arial" w:eastAsia="Calibri" w:hAnsi="Arial" w:cs="Arial"/>
          <w:sz w:val="24"/>
          <w:szCs w:val="24"/>
        </w:rPr>
        <w:tab/>
      </w:r>
      <w:r w:rsidRPr="006C074A">
        <w:rPr>
          <w:rFonts w:ascii="Arial" w:eastAsia="Calibri" w:hAnsi="Arial" w:cs="Arial"/>
          <w:sz w:val="24"/>
          <w:szCs w:val="24"/>
        </w:rPr>
        <w:tab/>
      </w:r>
      <w:r w:rsidRPr="006C074A">
        <w:rPr>
          <w:rFonts w:ascii="Arial" w:eastAsia="Calibri" w:hAnsi="Arial" w:cs="Arial"/>
          <w:b/>
          <w:sz w:val="24"/>
          <w:szCs w:val="24"/>
        </w:rPr>
        <w:t>Ec. (2)</w:t>
      </w:r>
    </w:p>
    <w:p w:rsidR="00ED3891" w:rsidRPr="006C074A" w:rsidRDefault="00ED3891" w:rsidP="00ED3891">
      <w:pPr>
        <w:rPr>
          <w:rFonts w:ascii="Arial" w:hAnsi="Arial" w:cs="Arial"/>
          <w:sz w:val="24"/>
          <w:szCs w:val="24"/>
        </w:rPr>
      </w:pPr>
      <w:r w:rsidRPr="006C074A">
        <w:rPr>
          <w:rFonts w:ascii="Arial" w:hAnsi="Arial" w:cs="Arial"/>
          <w:sz w:val="24"/>
          <w:szCs w:val="24"/>
        </w:rPr>
        <w:object w:dxaOrig="6005" w:dyaOrig="4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230.4pt" o:ole="">
            <v:imagedata r:id="rId12" o:title=""/>
          </v:shape>
          <o:OLEObject Type="Embed" ProgID="Origin50.Graph" ShapeID="_x0000_i1025" DrawAspect="Content" ObjectID="_1491817382" r:id="rId13"/>
        </w:object>
      </w:r>
      <w:r w:rsidRPr="006C074A">
        <w:rPr>
          <w:rFonts w:ascii="Arial" w:hAnsi="Arial" w:cs="Arial"/>
          <w:sz w:val="24"/>
          <w:szCs w:val="24"/>
        </w:rPr>
        <w:object w:dxaOrig="6735" w:dyaOrig="4764">
          <v:shape id="_x0000_i1026" type="#_x0000_t75" style="width:208.8pt;height:223.2pt" o:ole="">
            <v:imagedata r:id="rId14" o:title=""/>
          </v:shape>
          <o:OLEObject Type="Embed" ProgID="Origin50.Graph" ShapeID="_x0000_i1026" DrawAspect="Content" ObjectID="_1491817383" r:id="rId15"/>
        </w:object>
      </w:r>
    </w:p>
    <w:p w:rsidR="00ED3891" w:rsidRPr="006C074A" w:rsidRDefault="00ED3891" w:rsidP="00ED3891">
      <w:pPr>
        <w:spacing w:line="240" w:lineRule="auto"/>
        <w:rPr>
          <w:rFonts w:ascii="Arial" w:hAnsi="Arial" w:cs="Arial"/>
          <w:sz w:val="24"/>
          <w:szCs w:val="24"/>
        </w:rPr>
      </w:pPr>
      <w:r w:rsidRPr="006C074A">
        <w:rPr>
          <w:rFonts w:ascii="Arial" w:hAnsi="Arial" w:cs="Arial"/>
          <w:b/>
          <w:sz w:val="24"/>
          <w:szCs w:val="24"/>
        </w:rPr>
        <w:t>Figura 2</w:t>
      </w:r>
      <w:r w:rsidRPr="006C074A">
        <w:rPr>
          <w:rFonts w:ascii="Arial" w:hAnsi="Arial" w:cs="Arial"/>
          <w:sz w:val="24"/>
          <w:szCs w:val="24"/>
        </w:rPr>
        <w:t>. Difractogramas de</w:t>
      </w:r>
      <w:r w:rsidR="006C074A">
        <w:rPr>
          <w:rFonts w:ascii="Arial" w:hAnsi="Arial" w:cs="Arial"/>
          <w:sz w:val="24"/>
          <w:szCs w:val="24"/>
        </w:rPr>
        <w:t xml:space="preserve">                </w:t>
      </w:r>
      <w:r w:rsidRPr="006C074A">
        <w:rPr>
          <w:rFonts w:ascii="Arial" w:hAnsi="Arial" w:cs="Arial"/>
          <w:sz w:val="24"/>
          <w:szCs w:val="24"/>
        </w:rPr>
        <w:t xml:space="preserve"> </w:t>
      </w:r>
      <w:r w:rsidRPr="006C074A">
        <w:rPr>
          <w:rFonts w:ascii="Arial" w:hAnsi="Arial" w:cs="Arial"/>
          <w:b/>
          <w:sz w:val="24"/>
          <w:szCs w:val="24"/>
        </w:rPr>
        <w:t>Figura 3.</w:t>
      </w:r>
      <w:r w:rsidRPr="006C074A">
        <w:rPr>
          <w:rFonts w:ascii="Arial" w:hAnsi="Arial" w:cs="Arial"/>
          <w:sz w:val="24"/>
          <w:szCs w:val="24"/>
        </w:rPr>
        <w:t xml:space="preserve"> Difractogramas de </w:t>
      </w:r>
      <w:r w:rsidR="006C074A">
        <w:rPr>
          <w:rFonts w:ascii="Arial" w:hAnsi="Arial" w:cs="Arial"/>
          <w:sz w:val="24"/>
          <w:szCs w:val="24"/>
        </w:rPr>
        <w:t>Ni-</w:t>
      </w:r>
      <w:r w:rsidR="0071761E">
        <w:rPr>
          <w:rFonts w:ascii="Arial" w:hAnsi="Arial" w:cs="Arial"/>
          <w:sz w:val="24"/>
          <w:szCs w:val="24"/>
        </w:rPr>
        <w:t>TiO</w:t>
      </w:r>
      <w:r w:rsidR="0071761E" w:rsidRPr="0071761E">
        <w:rPr>
          <w:rFonts w:ascii="Arial" w:hAnsi="Arial" w:cs="Arial"/>
          <w:sz w:val="24"/>
          <w:szCs w:val="24"/>
          <w:vertAlign w:val="subscript"/>
        </w:rPr>
        <w:t>2</w:t>
      </w:r>
      <w:r w:rsidR="006C074A">
        <w:rPr>
          <w:rFonts w:ascii="Arial" w:hAnsi="Arial" w:cs="Arial"/>
          <w:sz w:val="24"/>
          <w:szCs w:val="24"/>
        </w:rPr>
        <w:t xml:space="preserve"> c</w:t>
      </w:r>
      <w:r w:rsidRPr="006C074A">
        <w:rPr>
          <w:rFonts w:ascii="Arial" w:hAnsi="Arial" w:cs="Arial"/>
          <w:sz w:val="24"/>
          <w:szCs w:val="24"/>
        </w:rPr>
        <w:t>atalizadores Fe-TiO</w:t>
      </w:r>
      <w:r w:rsidRPr="006C074A">
        <w:rPr>
          <w:rFonts w:ascii="Arial" w:hAnsi="Arial" w:cs="Arial"/>
          <w:sz w:val="24"/>
          <w:szCs w:val="24"/>
          <w:vertAlign w:val="subscript"/>
        </w:rPr>
        <w:t>2</w:t>
      </w:r>
      <w:r w:rsidRPr="006C074A">
        <w:rPr>
          <w:rFonts w:ascii="Arial" w:hAnsi="Arial" w:cs="Arial"/>
          <w:sz w:val="24"/>
          <w:szCs w:val="24"/>
        </w:rPr>
        <w:t xml:space="preserve">,  </w:t>
      </w:r>
      <w:r w:rsidR="006C074A">
        <w:rPr>
          <w:rFonts w:ascii="Arial" w:hAnsi="Arial" w:cs="Arial"/>
          <w:sz w:val="24"/>
          <w:szCs w:val="24"/>
        </w:rPr>
        <w:t xml:space="preserve">                          </w:t>
      </w:r>
      <w:r w:rsidRPr="006C074A">
        <w:rPr>
          <w:rFonts w:ascii="Arial" w:hAnsi="Arial" w:cs="Arial"/>
          <w:sz w:val="24"/>
          <w:szCs w:val="24"/>
        </w:rPr>
        <w:t>a diferentes temperaturas.                   , a diferentes temperaturas.</w:t>
      </w:r>
    </w:p>
    <w:p w:rsidR="00ED3891" w:rsidRDefault="00ED3891" w:rsidP="0071761E">
      <w:pPr>
        <w:spacing w:line="240" w:lineRule="auto"/>
        <w:jc w:val="both"/>
        <w:rPr>
          <w:rFonts w:ascii="Arial" w:hAnsi="Arial" w:cs="Arial"/>
          <w:sz w:val="24"/>
          <w:szCs w:val="24"/>
        </w:rPr>
      </w:pPr>
      <w:r w:rsidRPr="006C074A">
        <w:rPr>
          <w:rFonts w:ascii="Arial" w:hAnsi="Arial" w:cs="Arial"/>
          <w:sz w:val="24"/>
          <w:szCs w:val="24"/>
        </w:rPr>
        <w:t>Se muestra el efecto de la incorporación del metal en la obtención de la fase anatasa, la cristalinindad y por consiguiente tendrán un efecto fotocatalitico diferente los catalizadores.</w:t>
      </w:r>
      <w:r w:rsidR="0071761E">
        <w:rPr>
          <w:rFonts w:ascii="Arial" w:hAnsi="Arial" w:cs="Arial"/>
          <w:sz w:val="24"/>
          <w:szCs w:val="24"/>
        </w:rPr>
        <w:t xml:space="preserve"> </w:t>
      </w:r>
      <w:r w:rsidRPr="006C074A">
        <w:rPr>
          <w:rFonts w:ascii="Arial" w:eastAsia="Calibri" w:hAnsi="Arial" w:cs="Arial"/>
          <w:sz w:val="24"/>
          <w:szCs w:val="24"/>
        </w:rPr>
        <w:t xml:space="preserve">La Microscopía electrónica de barrido (MET), da información morfológica, identificación del tamaño de los aglomerados y permite conocer los elementos químicos presentes en los catalizadores así como su distribución en éstos por mapeo elemental </w:t>
      </w:r>
      <w:r w:rsidRPr="006C074A">
        <w:rPr>
          <w:rFonts w:ascii="Arial" w:hAnsi="Arial" w:cs="Arial"/>
          <w:sz w:val="24"/>
          <w:szCs w:val="24"/>
        </w:rPr>
        <w:t>para las muestras impurificadas con Cu, figuras 4.</w:t>
      </w:r>
    </w:p>
    <w:p w:rsidR="0071761E" w:rsidRDefault="0071761E" w:rsidP="00ED3891">
      <w:pPr>
        <w:jc w:val="both"/>
        <w:rPr>
          <w:rFonts w:ascii="Arial" w:hAnsi="Arial" w:cs="Arial"/>
          <w:b/>
          <w:sz w:val="24"/>
          <w:szCs w:val="24"/>
        </w:rPr>
      </w:pPr>
      <w:r w:rsidRPr="006C074A">
        <w:rPr>
          <w:rFonts w:ascii="Arial" w:hAnsi="Arial" w:cs="Arial"/>
          <w:b/>
          <w:bCs/>
          <w:noProof/>
          <w:sz w:val="24"/>
          <w:szCs w:val="24"/>
          <w:lang w:eastAsia="es-MX"/>
        </w:rPr>
        <w:lastRenderedPageBreak/>
        <w:drawing>
          <wp:anchor distT="0" distB="0" distL="114300" distR="114300" simplePos="0" relativeHeight="251659264" behindDoc="0" locked="0" layoutInCell="1" allowOverlap="1" wp14:anchorId="424EB329" wp14:editId="603C0728">
            <wp:simplePos x="0" y="0"/>
            <wp:positionH relativeFrom="column">
              <wp:posOffset>4091940</wp:posOffset>
            </wp:positionH>
            <wp:positionV relativeFrom="paragraph">
              <wp:posOffset>295275</wp:posOffset>
            </wp:positionV>
            <wp:extent cx="1273810" cy="1381125"/>
            <wp:effectExtent l="0" t="0" r="254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srcRect/>
                    <a:stretch>
                      <a:fillRect/>
                    </a:stretch>
                  </pic:blipFill>
                  <pic:spPr bwMode="auto">
                    <a:xfrm>
                      <a:off x="0" y="0"/>
                      <a:ext cx="1273810" cy="1381125"/>
                    </a:xfrm>
                    <a:prstGeom prst="rect">
                      <a:avLst/>
                    </a:prstGeom>
                    <a:noFill/>
                  </pic:spPr>
                </pic:pic>
              </a:graphicData>
            </a:graphic>
            <wp14:sizeRelH relativeFrom="margin">
              <wp14:pctWidth>0</wp14:pctWidth>
            </wp14:sizeRelH>
            <wp14:sizeRelV relativeFrom="margin">
              <wp14:pctHeight>0</wp14:pctHeight>
            </wp14:sizeRelV>
          </wp:anchor>
        </w:drawing>
      </w:r>
      <w:r w:rsidRPr="006C074A">
        <w:rPr>
          <w:rFonts w:ascii="Arial" w:hAnsi="Arial" w:cs="Arial"/>
          <w:noProof/>
          <w:sz w:val="24"/>
          <w:szCs w:val="24"/>
          <w:lang w:eastAsia="es-MX"/>
        </w:rPr>
        <w:drawing>
          <wp:anchor distT="0" distB="0" distL="114300" distR="114300" simplePos="0" relativeHeight="251662336" behindDoc="0" locked="0" layoutInCell="1" allowOverlap="1" wp14:anchorId="79EB6C82" wp14:editId="57AEB568">
            <wp:simplePos x="0" y="0"/>
            <wp:positionH relativeFrom="column">
              <wp:posOffset>2796540</wp:posOffset>
            </wp:positionH>
            <wp:positionV relativeFrom="paragraph">
              <wp:posOffset>295275</wp:posOffset>
            </wp:positionV>
            <wp:extent cx="1162050" cy="1389380"/>
            <wp:effectExtent l="0" t="0" r="0" b="1270"/>
            <wp:wrapSquare wrapText="bothSides"/>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srcRect/>
                    <a:stretch>
                      <a:fillRect/>
                    </a:stretch>
                  </pic:blipFill>
                  <pic:spPr bwMode="auto">
                    <a:xfrm>
                      <a:off x="0" y="0"/>
                      <a:ext cx="1162050" cy="1389380"/>
                    </a:xfrm>
                    <a:prstGeom prst="rect">
                      <a:avLst/>
                    </a:prstGeom>
                    <a:noFill/>
                  </pic:spPr>
                </pic:pic>
              </a:graphicData>
            </a:graphic>
            <wp14:sizeRelH relativeFrom="margin">
              <wp14:pctWidth>0</wp14:pctWidth>
            </wp14:sizeRelH>
            <wp14:sizeRelV relativeFrom="margin">
              <wp14:pctHeight>0</wp14:pctHeight>
            </wp14:sizeRelV>
          </wp:anchor>
        </w:drawing>
      </w:r>
      <w:r w:rsidRPr="006C074A">
        <w:rPr>
          <w:rFonts w:ascii="Arial" w:hAnsi="Arial" w:cs="Arial"/>
          <w:noProof/>
          <w:sz w:val="24"/>
          <w:szCs w:val="24"/>
          <w:lang w:eastAsia="es-MX"/>
        </w:rPr>
        <w:drawing>
          <wp:anchor distT="0" distB="0" distL="114300" distR="114300" simplePos="0" relativeHeight="251661312" behindDoc="0" locked="0" layoutInCell="1" allowOverlap="1" wp14:anchorId="64722C1F" wp14:editId="0B139D32">
            <wp:simplePos x="0" y="0"/>
            <wp:positionH relativeFrom="column">
              <wp:posOffset>1443990</wp:posOffset>
            </wp:positionH>
            <wp:positionV relativeFrom="paragraph">
              <wp:posOffset>294640</wp:posOffset>
            </wp:positionV>
            <wp:extent cx="1209675" cy="1386840"/>
            <wp:effectExtent l="0" t="0" r="9525"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8"/>
                    <a:srcRect/>
                    <a:stretch>
                      <a:fillRect/>
                    </a:stretch>
                  </pic:blipFill>
                  <pic:spPr bwMode="auto">
                    <a:xfrm>
                      <a:off x="0" y="0"/>
                      <a:ext cx="1209675" cy="1386840"/>
                    </a:xfrm>
                    <a:prstGeom prst="rect">
                      <a:avLst/>
                    </a:prstGeom>
                    <a:noFill/>
                  </pic:spPr>
                </pic:pic>
              </a:graphicData>
            </a:graphic>
            <wp14:sizeRelH relativeFrom="margin">
              <wp14:pctWidth>0</wp14:pctWidth>
            </wp14:sizeRelH>
            <wp14:sizeRelV relativeFrom="margin">
              <wp14:pctHeight>0</wp14:pctHeight>
            </wp14:sizeRelV>
          </wp:anchor>
        </w:drawing>
      </w:r>
      <w:r w:rsidRPr="006C074A">
        <w:rPr>
          <w:rFonts w:ascii="Arial" w:hAnsi="Arial" w:cs="Arial"/>
          <w:b/>
          <w:bCs/>
          <w:noProof/>
          <w:sz w:val="24"/>
          <w:szCs w:val="24"/>
          <w:lang w:eastAsia="es-MX"/>
        </w:rPr>
        <w:drawing>
          <wp:anchor distT="0" distB="0" distL="114300" distR="114300" simplePos="0" relativeHeight="251660288" behindDoc="0" locked="0" layoutInCell="1" allowOverlap="1" wp14:anchorId="0A824B47" wp14:editId="438E9A8A">
            <wp:simplePos x="0" y="0"/>
            <wp:positionH relativeFrom="column">
              <wp:posOffset>34290</wp:posOffset>
            </wp:positionH>
            <wp:positionV relativeFrom="paragraph">
              <wp:posOffset>342900</wp:posOffset>
            </wp:positionV>
            <wp:extent cx="1343025" cy="1338580"/>
            <wp:effectExtent l="0" t="0" r="9525"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srcRect/>
                    <a:stretch>
                      <a:fillRect/>
                    </a:stretch>
                  </pic:blipFill>
                  <pic:spPr bwMode="auto">
                    <a:xfrm>
                      <a:off x="0" y="0"/>
                      <a:ext cx="1343025" cy="1338580"/>
                    </a:xfrm>
                    <a:prstGeom prst="rect">
                      <a:avLst/>
                    </a:prstGeom>
                    <a:noFill/>
                  </pic:spPr>
                </pic:pic>
              </a:graphicData>
            </a:graphic>
            <wp14:sizeRelH relativeFrom="margin">
              <wp14:pctWidth>0</wp14:pctWidth>
            </wp14:sizeRelH>
            <wp14:sizeRelV relativeFrom="margin">
              <wp14:pctHeight>0</wp14:pctHeight>
            </wp14:sizeRelV>
          </wp:anchor>
        </w:drawing>
      </w:r>
    </w:p>
    <w:p w:rsidR="00545C43" w:rsidRDefault="00545C43" w:rsidP="00ED3891">
      <w:pPr>
        <w:jc w:val="both"/>
        <w:rPr>
          <w:rFonts w:ascii="Arial" w:hAnsi="Arial" w:cs="Arial"/>
          <w:b/>
          <w:sz w:val="24"/>
          <w:szCs w:val="24"/>
        </w:rPr>
      </w:pPr>
    </w:p>
    <w:p w:rsidR="00ED3891" w:rsidRPr="006C074A" w:rsidRDefault="00ED3891" w:rsidP="00ED3891">
      <w:pPr>
        <w:jc w:val="both"/>
        <w:rPr>
          <w:rFonts w:ascii="Arial" w:hAnsi="Arial" w:cs="Arial"/>
          <w:b/>
          <w:sz w:val="24"/>
          <w:szCs w:val="24"/>
        </w:rPr>
      </w:pPr>
      <w:r w:rsidRPr="006C074A">
        <w:rPr>
          <w:rFonts w:ascii="Arial" w:hAnsi="Arial" w:cs="Arial"/>
          <w:b/>
          <w:sz w:val="24"/>
          <w:szCs w:val="24"/>
        </w:rPr>
        <w:t xml:space="preserve">Figura 4. </w:t>
      </w:r>
      <w:r w:rsidRPr="006C074A">
        <w:rPr>
          <w:rFonts w:ascii="Arial" w:hAnsi="Arial" w:cs="Arial"/>
          <w:sz w:val="24"/>
          <w:szCs w:val="24"/>
        </w:rPr>
        <w:t>Muestra el mapeo de los catalizadores de Cu-TiO</w:t>
      </w:r>
      <w:r w:rsidRPr="006C074A">
        <w:rPr>
          <w:rFonts w:ascii="Arial" w:hAnsi="Arial" w:cs="Arial"/>
          <w:sz w:val="24"/>
          <w:szCs w:val="24"/>
          <w:vertAlign w:val="subscript"/>
        </w:rPr>
        <w:t>2</w:t>
      </w:r>
      <w:r w:rsidRPr="006C074A">
        <w:rPr>
          <w:rFonts w:ascii="Arial" w:hAnsi="Arial" w:cs="Arial"/>
          <w:sz w:val="24"/>
          <w:szCs w:val="24"/>
        </w:rPr>
        <w:t>. Con 2.63% W de Cu calcinados a</w:t>
      </w:r>
      <w:r w:rsidRPr="006C074A">
        <w:rPr>
          <w:rFonts w:ascii="Arial" w:hAnsi="Arial" w:cs="Arial"/>
          <w:b/>
          <w:sz w:val="24"/>
          <w:szCs w:val="24"/>
        </w:rPr>
        <w:t xml:space="preserve"> </w:t>
      </w:r>
      <w:r w:rsidRPr="006C074A">
        <w:rPr>
          <w:rFonts w:ascii="Arial" w:hAnsi="Arial" w:cs="Arial"/>
          <w:sz w:val="24"/>
          <w:szCs w:val="24"/>
        </w:rPr>
        <w:t>400°C. Ubicando para cada elemento un color: Titanio-verde, Oxigeno-azul y Cobre-rojo, además del mapeo general.</w:t>
      </w:r>
    </w:p>
    <w:p w:rsidR="00ED3891" w:rsidRDefault="00ED3891" w:rsidP="00ED3891">
      <w:pPr>
        <w:jc w:val="both"/>
        <w:rPr>
          <w:rFonts w:ascii="Arial" w:eastAsia="Calibri" w:hAnsi="Arial" w:cs="Arial"/>
          <w:sz w:val="24"/>
          <w:szCs w:val="24"/>
        </w:rPr>
      </w:pPr>
      <w:r w:rsidRPr="006C074A">
        <w:rPr>
          <w:rFonts w:ascii="Arial" w:eastAsia="Calibri" w:hAnsi="Arial" w:cs="Arial"/>
          <w:sz w:val="24"/>
          <w:szCs w:val="24"/>
        </w:rPr>
        <w:t xml:space="preserve">El cálculo del área superficial específica, fue realizado con el método (BET) usando nitrógeno como gas de adsorción. Nos permitió conocer la extensión del área disponible en los catalizadores. </w:t>
      </w:r>
    </w:p>
    <w:p w:rsidR="004E4E19" w:rsidRPr="006C074A" w:rsidRDefault="004E4E19" w:rsidP="00ED3891">
      <w:pPr>
        <w:jc w:val="both"/>
        <w:rPr>
          <w:rFonts w:ascii="Arial" w:eastAsia="Calibri" w:hAnsi="Arial" w:cs="Arial"/>
          <w:sz w:val="24"/>
          <w:szCs w:val="24"/>
        </w:rPr>
      </w:pPr>
    </w:p>
    <w:p w:rsidR="00ED3891" w:rsidRPr="006C074A" w:rsidRDefault="00ED3891" w:rsidP="00ED3891">
      <w:pPr>
        <w:spacing w:after="0"/>
        <w:jc w:val="center"/>
        <w:rPr>
          <w:rFonts w:ascii="Arial" w:hAnsi="Arial" w:cs="Arial"/>
          <w:sz w:val="24"/>
          <w:szCs w:val="24"/>
        </w:rPr>
      </w:pPr>
      <w:r w:rsidRPr="006C074A">
        <w:rPr>
          <w:rFonts w:ascii="Arial" w:hAnsi="Arial" w:cs="Arial"/>
          <w:b/>
          <w:bCs/>
          <w:sz w:val="24"/>
          <w:szCs w:val="24"/>
        </w:rPr>
        <w:t xml:space="preserve">Tabla </w:t>
      </w:r>
      <w:r w:rsidRPr="006C074A">
        <w:rPr>
          <w:rFonts w:ascii="Arial" w:hAnsi="Arial" w:cs="Arial"/>
          <w:b/>
          <w:bCs/>
          <w:color w:val="000000"/>
          <w:sz w:val="24"/>
          <w:szCs w:val="24"/>
        </w:rPr>
        <w:t xml:space="preserve">4. </w:t>
      </w:r>
      <w:r w:rsidRPr="006C074A">
        <w:rPr>
          <w:rFonts w:ascii="Arial" w:hAnsi="Arial" w:cs="Arial"/>
          <w:b/>
          <w:bCs/>
          <w:sz w:val="24"/>
          <w:szCs w:val="24"/>
        </w:rPr>
        <w:t xml:space="preserve"> </w:t>
      </w:r>
      <w:r w:rsidRPr="006C074A">
        <w:rPr>
          <w:rFonts w:ascii="Arial" w:hAnsi="Arial" w:cs="Arial"/>
          <w:sz w:val="24"/>
          <w:szCs w:val="24"/>
        </w:rPr>
        <w:t>Área superficial específica de los catalizadores Fe-TiO</w:t>
      </w:r>
      <w:r w:rsidRPr="006C074A">
        <w:rPr>
          <w:rFonts w:ascii="Arial" w:hAnsi="Arial" w:cs="Arial"/>
          <w:sz w:val="24"/>
          <w:szCs w:val="24"/>
          <w:vertAlign w:val="subscript"/>
        </w:rPr>
        <w:t>2</w:t>
      </w:r>
      <w:r w:rsidRPr="006C074A">
        <w:rPr>
          <w:rFonts w:ascii="Arial" w:hAnsi="Arial" w:cs="Arial"/>
          <w:sz w:val="24"/>
          <w:szCs w:val="24"/>
        </w:rPr>
        <w:t>.</w:t>
      </w:r>
    </w:p>
    <w:tbl>
      <w:tblPr>
        <w:tblpPr w:leftFromText="141" w:rightFromText="141" w:vertAnchor="text" w:horzAnchor="margin" w:tblpXSpec="center"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1150"/>
        <w:gridCol w:w="2268"/>
      </w:tblGrid>
      <w:tr w:rsidR="00ED3891" w:rsidRPr="006C074A" w:rsidTr="002808AA">
        <w:tc>
          <w:tcPr>
            <w:tcW w:w="2077" w:type="dxa"/>
            <w:tcBorders>
              <w:top w:val="single" w:sz="12" w:space="0" w:color="auto"/>
              <w:left w:val="single" w:sz="12" w:space="0" w:color="auto"/>
              <w:bottom w:val="single" w:sz="12" w:space="0" w:color="auto"/>
              <w:right w:val="single" w:sz="12" w:space="0" w:color="auto"/>
            </w:tcBorders>
            <w:vAlign w:val="center"/>
          </w:tcPr>
          <w:p w:rsidR="00ED3891" w:rsidRPr="006C074A" w:rsidRDefault="00ED3891" w:rsidP="002808AA">
            <w:pPr>
              <w:spacing w:after="0" w:line="240" w:lineRule="auto"/>
              <w:jc w:val="center"/>
              <w:rPr>
                <w:rFonts w:ascii="Arial" w:hAnsi="Arial" w:cs="Arial"/>
                <w:b/>
                <w:bCs/>
                <w:sz w:val="24"/>
                <w:szCs w:val="24"/>
              </w:rPr>
            </w:pPr>
            <w:r w:rsidRPr="006C074A">
              <w:rPr>
                <w:rFonts w:ascii="Arial" w:hAnsi="Arial" w:cs="Arial"/>
                <w:b/>
                <w:bCs/>
                <w:sz w:val="24"/>
                <w:szCs w:val="24"/>
              </w:rPr>
              <w:t>Catalizador</w:t>
            </w:r>
          </w:p>
        </w:tc>
        <w:tc>
          <w:tcPr>
            <w:tcW w:w="1150" w:type="dxa"/>
            <w:tcBorders>
              <w:top w:val="single" w:sz="12" w:space="0" w:color="auto"/>
              <w:left w:val="single" w:sz="12" w:space="0" w:color="auto"/>
              <w:bottom w:val="single" w:sz="12" w:space="0" w:color="auto"/>
              <w:right w:val="single" w:sz="12" w:space="0" w:color="auto"/>
            </w:tcBorders>
            <w:vAlign w:val="center"/>
          </w:tcPr>
          <w:p w:rsidR="00ED3891" w:rsidRPr="006C074A" w:rsidRDefault="00ED3891" w:rsidP="002808AA">
            <w:pPr>
              <w:spacing w:after="0" w:line="240" w:lineRule="auto"/>
              <w:jc w:val="center"/>
              <w:rPr>
                <w:rFonts w:ascii="Arial" w:hAnsi="Arial" w:cs="Arial"/>
                <w:b/>
                <w:bCs/>
                <w:sz w:val="24"/>
                <w:szCs w:val="24"/>
              </w:rPr>
            </w:pPr>
            <w:r w:rsidRPr="006C074A">
              <w:rPr>
                <w:rFonts w:ascii="Arial" w:hAnsi="Arial" w:cs="Arial"/>
                <w:b/>
                <w:bCs/>
                <w:sz w:val="24"/>
                <w:szCs w:val="24"/>
              </w:rPr>
              <w:t>T</w:t>
            </w:r>
            <w:r w:rsidRPr="006C074A">
              <w:rPr>
                <w:rFonts w:ascii="Arial" w:hAnsi="Arial" w:cs="Arial"/>
                <w:b/>
                <w:bCs/>
                <w:sz w:val="24"/>
                <w:szCs w:val="24"/>
                <w:vertAlign w:val="subscript"/>
              </w:rPr>
              <w:t>calc</w:t>
            </w:r>
            <w:r w:rsidRPr="006C074A">
              <w:rPr>
                <w:rFonts w:ascii="Arial" w:hAnsi="Arial" w:cs="Arial"/>
                <w:b/>
                <w:bCs/>
                <w:sz w:val="24"/>
                <w:szCs w:val="24"/>
              </w:rPr>
              <w:t xml:space="preserve"> (°C)</w:t>
            </w:r>
          </w:p>
        </w:tc>
        <w:tc>
          <w:tcPr>
            <w:tcW w:w="2268" w:type="dxa"/>
            <w:tcBorders>
              <w:top w:val="single" w:sz="12" w:space="0" w:color="auto"/>
              <w:left w:val="single" w:sz="12" w:space="0" w:color="auto"/>
              <w:bottom w:val="single" w:sz="12" w:space="0" w:color="auto"/>
              <w:right w:val="single" w:sz="12" w:space="0" w:color="auto"/>
            </w:tcBorders>
            <w:vAlign w:val="center"/>
          </w:tcPr>
          <w:p w:rsidR="00ED3891" w:rsidRPr="006C074A" w:rsidRDefault="00ED3891" w:rsidP="002808AA">
            <w:pPr>
              <w:spacing w:after="0" w:line="240" w:lineRule="auto"/>
              <w:jc w:val="center"/>
              <w:rPr>
                <w:rFonts w:ascii="Arial" w:hAnsi="Arial" w:cs="Arial"/>
                <w:b/>
                <w:bCs/>
                <w:sz w:val="24"/>
                <w:szCs w:val="24"/>
              </w:rPr>
            </w:pPr>
            <w:r w:rsidRPr="006C074A">
              <w:rPr>
                <w:rFonts w:ascii="Arial" w:hAnsi="Arial" w:cs="Arial"/>
                <w:b/>
                <w:bCs/>
                <w:sz w:val="24"/>
                <w:szCs w:val="24"/>
              </w:rPr>
              <w:t>Área superficial específica (m</w:t>
            </w:r>
            <w:r w:rsidRPr="006C074A">
              <w:rPr>
                <w:rFonts w:ascii="Arial" w:hAnsi="Arial" w:cs="Arial"/>
                <w:b/>
                <w:bCs/>
                <w:sz w:val="24"/>
                <w:szCs w:val="24"/>
                <w:vertAlign w:val="superscript"/>
              </w:rPr>
              <w:t>2</w:t>
            </w:r>
            <w:r w:rsidRPr="006C074A">
              <w:rPr>
                <w:rFonts w:ascii="Arial" w:hAnsi="Arial" w:cs="Arial"/>
                <w:b/>
                <w:bCs/>
                <w:sz w:val="24"/>
                <w:szCs w:val="24"/>
              </w:rPr>
              <w:t>/g)</w:t>
            </w:r>
          </w:p>
        </w:tc>
      </w:tr>
      <w:tr w:rsidR="00ED3891" w:rsidRPr="006C074A" w:rsidTr="002808AA">
        <w:tc>
          <w:tcPr>
            <w:tcW w:w="2077"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0.05% Fe-TiO</w:t>
            </w:r>
            <w:r w:rsidRPr="006C074A">
              <w:rPr>
                <w:rFonts w:ascii="Arial" w:hAnsi="Arial" w:cs="Arial"/>
                <w:sz w:val="24"/>
                <w:szCs w:val="24"/>
                <w:vertAlign w:val="subscript"/>
              </w:rPr>
              <w:t>2</w:t>
            </w:r>
          </w:p>
        </w:tc>
        <w:tc>
          <w:tcPr>
            <w:tcW w:w="1150"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400</w:t>
            </w:r>
          </w:p>
        </w:tc>
        <w:tc>
          <w:tcPr>
            <w:tcW w:w="2268" w:type="dxa"/>
            <w:tcBorders>
              <w:top w:val="single" w:sz="12" w:space="0" w:color="auto"/>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218.621</w:t>
            </w:r>
          </w:p>
        </w:tc>
      </w:tr>
      <w:tr w:rsidR="00ED3891" w:rsidRPr="006C074A" w:rsidTr="002808AA">
        <w:tc>
          <w:tcPr>
            <w:tcW w:w="2077"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TiO</w:t>
            </w:r>
            <w:r w:rsidRPr="006C074A">
              <w:rPr>
                <w:rFonts w:ascii="Arial" w:hAnsi="Arial" w:cs="Arial"/>
                <w:sz w:val="24"/>
                <w:szCs w:val="24"/>
                <w:vertAlign w:val="subscript"/>
              </w:rPr>
              <w:t>2</w:t>
            </w:r>
            <w:r w:rsidRPr="006C074A">
              <w:rPr>
                <w:rFonts w:ascii="Arial" w:hAnsi="Arial" w:cs="Arial"/>
                <w:sz w:val="24"/>
                <w:szCs w:val="24"/>
              </w:rPr>
              <w:t xml:space="preserve"> puro</w:t>
            </w:r>
          </w:p>
        </w:tc>
        <w:tc>
          <w:tcPr>
            <w:tcW w:w="1150"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500</w:t>
            </w:r>
          </w:p>
        </w:tc>
        <w:tc>
          <w:tcPr>
            <w:tcW w:w="2268"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105.733</w:t>
            </w:r>
          </w:p>
        </w:tc>
      </w:tr>
      <w:tr w:rsidR="00ED3891" w:rsidRPr="006C074A" w:rsidTr="002808AA">
        <w:tc>
          <w:tcPr>
            <w:tcW w:w="207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0.05% Fe-TiO</w:t>
            </w:r>
            <w:r w:rsidRPr="006C074A">
              <w:rPr>
                <w:rFonts w:ascii="Arial" w:hAnsi="Arial" w:cs="Arial"/>
                <w:sz w:val="24"/>
                <w:szCs w:val="24"/>
                <w:vertAlign w:val="subscript"/>
              </w:rPr>
              <w:t>2</w:t>
            </w: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500</w:t>
            </w:r>
          </w:p>
        </w:tc>
        <w:tc>
          <w:tcPr>
            <w:tcW w:w="2268"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138.914</w:t>
            </w:r>
          </w:p>
        </w:tc>
      </w:tr>
      <w:tr w:rsidR="00ED3891" w:rsidRPr="006C074A" w:rsidTr="002808AA">
        <w:tc>
          <w:tcPr>
            <w:tcW w:w="207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0.10% Fe-TiO</w:t>
            </w:r>
            <w:r w:rsidRPr="006C074A">
              <w:rPr>
                <w:rFonts w:ascii="Arial" w:hAnsi="Arial" w:cs="Arial"/>
                <w:sz w:val="24"/>
                <w:szCs w:val="24"/>
                <w:vertAlign w:val="subscript"/>
              </w:rPr>
              <w:t>2</w:t>
            </w: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500</w:t>
            </w:r>
          </w:p>
        </w:tc>
        <w:tc>
          <w:tcPr>
            <w:tcW w:w="2268"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108.352</w:t>
            </w:r>
          </w:p>
        </w:tc>
      </w:tr>
      <w:tr w:rsidR="00ED3891" w:rsidRPr="006C074A" w:rsidTr="002808AA">
        <w:tc>
          <w:tcPr>
            <w:tcW w:w="2077"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1.4245% Fe-TiO</w:t>
            </w:r>
            <w:r w:rsidRPr="006C074A">
              <w:rPr>
                <w:rFonts w:ascii="Arial" w:hAnsi="Arial" w:cs="Arial"/>
                <w:sz w:val="24"/>
                <w:szCs w:val="24"/>
                <w:vertAlign w:val="subscript"/>
              </w:rPr>
              <w:t>2</w:t>
            </w:r>
          </w:p>
        </w:tc>
        <w:tc>
          <w:tcPr>
            <w:tcW w:w="1150"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500</w:t>
            </w:r>
          </w:p>
        </w:tc>
        <w:tc>
          <w:tcPr>
            <w:tcW w:w="2268"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117.760</w:t>
            </w:r>
          </w:p>
        </w:tc>
      </w:tr>
      <w:tr w:rsidR="00ED3891" w:rsidRPr="006C074A" w:rsidTr="002808AA">
        <w:tc>
          <w:tcPr>
            <w:tcW w:w="2077"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TiO</w:t>
            </w:r>
            <w:r w:rsidRPr="006C074A">
              <w:rPr>
                <w:rFonts w:ascii="Arial" w:hAnsi="Arial" w:cs="Arial"/>
                <w:sz w:val="24"/>
                <w:szCs w:val="24"/>
                <w:vertAlign w:val="subscript"/>
              </w:rPr>
              <w:t>2</w:t>
            </w:r>
            <w:r w:rsidRPr="006C074A">
              <w:rPr>
                <w:rFonts w:ascii="Arial" w:hAnsi="Arial" w:cs="Arial"/>
                <w:sz w:val="24"/>
                <w:szCs w:val="24"/>
              </w:rPr>
              <w:t xml:space="preserve"> puro</w:t>
            </w:r>
          </w:p>
        </w:tc>
        <w:tc>
          <w:tcPr>
            <w:tcW w:w="1150"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600</w:t>
            </w:r>
          </w:p>
        </w:tc>
        <w:tc>
          <w:tcPr>
            <w:tcW w:w="2268"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24.587</w:t>
            </w:r>
          </w:p>
        </w:tc>
      </w:tr>
      <w:tr w:rsidR="00ED3891" w:rsidRPr="006C074A" w:rsidTr="002808AA">
        <w:tc>
          <w:tcPr>
            <w:tcW w:w="207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0.05% Fe-TiO</w:t>
            </w:r>
            <w:r w:rsidRPr="006C074A">
              <w:rPr>
                <w:rFonts w:ascii="Arial" w:hAnsi="Arial" w:cs="Arial"/>
                <w:sz w:val="24"/>
                <w:szCs w:val="24"/>
                <w:vertAlign w:val="subscript"/>
              </w:rPr>
              <w:t>2</w:t>
            </w: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600</w:t>
            </w:r>
          </w:p>
        </w:tc>
        <w:tc>
          <w:tcPr>
            <w:tcW w:w="2268"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37.304</w:t>
            </w:r>
          </w:p>
        </w:tc>
      </w:tr>
      <w:tr w:rsidR="00ED3891" w:rsidRPr="006C074A" w:rsidTr="002808AA">
        <w:tc>
          <w:tcPr>
            <w:tcW w:w="207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0.10% Fe-TiO</w:t>
            </w:r>
            <w:r w:rsidRPr="006C074A">
              <w:rPr>
                <w:rFonts w:ascii="Arial" w:hAnsi="Arial" w:cs="Arial"/>
                <w:sz w:val="24"/>
                <w:szCs w:val="24"/>
                <w:vertAlign w:val="subscript"/>
              </w:rPr>
              <w:t>2</w:t>
            </w: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600</w:t>
            </w:r>
          </w:p>
        </w:tc>
        <w:tc>
          <w:tcPr>
            <w:tcW w:w="2268"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26.639</w:t>
            </w:r>
          </w:p>
        </w:tc>
      </w:tr>
      <w:tr w:rsidR="00ED3891" w:rsidRPr="006C074A" w:rsidTr="002808AA">
        <w:tc>
          <w:tcPr>
            <w:tcW w:w="2077"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1.4245% Fe-TiO</w:t>
            </w:r>
            <w:r w:rsidRPr="006C074A">
              <w:rPr>
                <w:rFonts w:ascii="Arial" w:hAnsi="Arial" w:cs="Arial"/>
                <w:sz w:val="24"/>
                <w:szCs w:val="24"/>
                <w:vertAlign w:val="subscript"/>
              </w:rPr>
              <w:t>2</w:t>
            </w:r>
          </w:p>
        </w:tc>
        <w:tc>
          <w:tcPr>
            <w:tcW w:w="1150"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600</w:t>
            </w:r>
          </w:p>
        </w:tc>
        <w:tc>
          <w:tcPr>
            <w:tcW w:w="2268"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41.299</w:t>
            </w:r>
          </w:p>
        </w:tc>
      </w:tr>
      <w:tr w:rsidR="00ED3891" w:rsidRPr="006C074A" w:rsidTr="002808AA">
        <w:tc>
          <w:tcPr>
            <w:tcW w:w="2077"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0.05% Fe-TiO</w:t>
            </w:r>
            <w:r w:rsidRPr="006C074A">
              <w:rPr>
                <w:rFonts w:ascii="Arial" w:hAnsi="Arial" w:cs="Arial"/>
                <w:sz w:val="24"/>
                <w:szCs w:val="24"/>
                <w:vertAlign w:val="subscript"/>
              </w:rPr>
              <w:t>2</w:t>
            </w:r>
          </w:p>
        </w:tc>
        <w:tc>
          <w:tcPr>
            <w:tcW w:w="1150"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700</w:t>
            </w:r>
          </w:p>
        </w:tc>
        <w:tc>
          <w:tcPr>
            <w:tcW w:w="2268"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11.321</w:t>
            </w:r>
          </w:p>
        </w:tc>
      </w:tr>
    </w:tbl>
    <w:p w:rsidR="00ED3891" w:rsidRPr="006C074A" w:rsidRDefault="00ED3891" w:rsidP="00ED3891">
      <w:pPr>
        <w:spacing w:before="240"/>
        <w:jc w:val="both"/>
        <w:rPr>
          <w:rFonts w:ascii="Arial" w:eastAsia="Calibri" w:hAnsi="Arial" w:cs="Arial"/>
          <w:sz w:val="24"/>
          <w:szCs w:val="24"/>
        </w:rPr>
      </w:pPr>
    </w:p>
    <w:p w:rsidR="00ED3891" w:rsidRPr="006C074A" w:rsidRDefault="00ED3891" w:rsidP="00ED3891">
      <w:pPr>
        <w:spacing w:after="0"/>
        <w:jc w:val="center"/>
        <w:rPr>
          <w:rFonts w:ascii="Arial" w:eastAsia="Calibri" w:hAnsi="Arial" w:cs="Arial"/>
          <w:sz w:val="24"/>
          <w:szCs w:val="24"/>
        </w:rPr>
      </w:pPr>
    </w:p>
    <w:p w:rsidR="00ED3891" w:rsidRPr="006C074A" w:rsidRDefault="00ED3891" w:rsidP="00ED3891">
      <w:pPr>
        <w:spacing w:before="240"/>
        <w:jc w:val="both"/>
        <w:rPr>
          <w:rFonts w:ascii="Arial" w:eastAsia="Calibri" w:hAnsi="Arial" w:cs="Arial"/>
          <w:sz w:val="24"/>
          <w:szCs w:val="24"/>
        </w:rPr>
      </w:pPr>
    </w:p>
    <w:p w:rsidR="00ED3891" w:rsidRPr="006C074A" w:rsidRDefault="00ED3891" w:rsidP="00ED3891">
      <w:pPr>
        <w:spacing w:before="240"/>
        <w:jc w:val="both"/>
        <w:rPr>
          <w:rFonts w:ascii="Arial" w:eastAsia="Calibri" w:hAnsi="Arial" w:cs="Arial"/>
          <w:sz w:val="24"/>
          <w:szCs w:val="24"/>
        </w:rPr>
      </w:pPr>
    </w:p>
    <w:p w:rsidR="00ED3891" w:rsidRPr="006C074A" w:rsidRDefault="00ED3891" w:rsidP="00ED3891">
      <w:pPr>
        <w:spacing w:before="240"/>
        <w:jc w:val="both"/>
        <w:rPr>
          <w:rFonts w:ascii="Arial" w:eastAsia="Calibri" w:hAnsi="Arial" w:cs="Arial"/>
          <w:sz w:val="24"/>
          <w:szCs w:val="24"/>
        </w:rPr>
      </w:pPr>
    </w:p>
    <w:p w:rsidR="00ED3891" w:rsidRPr="006C074A" w:rsidRDefault="00ED3891" w:rsidP="00ED3891">
      <w:pPr>
        <w:spacing w:before="240"/>
        <w:jc w:val="both"/>
        <w:rPr>
          <w:rFonts w:ascii="Arial" w:eastAsia="Calibri" w:hAnsi="Arial" w:cs="Arial"/>
          <w:sz w:val="24"/>
          <w:szCs w:val="24"/>
        </w:rPr>
      </w:pPr>
    </w:p>
    <w:p w:rsidR="00ED3891" w:rsidRPr="006C074A" w:rsidRDefault="00ED3891" w:rsidP="00ED3891">
      <w:pPr>
        <w:spacing w:before="240"/>
        <w:jc w:val="both"/>
        <w:rPr>
          <w:rFonts w:ascii="Arial" w:eastAsia="Calibri" w:hAnsi="Arial" w:cs="Arial"/>
          <w:sz w:val="24"/>
          <w:szCs w:val="24"/>
        </w:rPr>
      </w:pPr>
    </w:p>
    <w:p w:rsidR="00ED3891" w:rsidRPr="006C074A" w:rsidRDefault="00ED3891" w:rsidP="00ED3891">
      <w:pPr>
        <w:spacing w:after="0"/>
        <w:jc w:val="both"/>
        <w:rPr>
          <w:rFonts w:ascii="Arial" w:hAnsi="Arial" w:cs="Arial"/>
          <w:color w:val="000000"/>
          <w:sz w:val="24"/>
          <w:szCs w:val="24"/>
        </w:rPr>
      </w:pPr>
      <w:r w:rsidRPr="006C074A">
        <w:rPr>
          <w:rFonts w:ascii="Arial" w:hAnsi="Arial" w:cs="Arial"/>
          <w:color w:val="000000"/>
          <w:sz w:val="24"/>
          <w:szCs w:val="24"/>
        </w:rPr>
        <w:t xml:space="preserve">La tendencia del cambio de área superficial respecto al porcentaje mol de hierro a diferentes temperaturas de calcinación no es clara, sin embargo, los calcinados a 400°C y 700°C, tienen un área máxima y mínima global. </w:t>
      </w:r>
    </w:p>
    <w:p w:rsidR="00ED3891" w:rsidRPr="006C074A" w:rsidRDefault="00ED3891" w:rsidP="00ED3891">
      <w:pPr>
        <w:jc w:val="both"/>
        <w:rPr>
          <w:rFonts w:ascii="Arial" w:eastAsia="Calibri" w:hAnsi="Arial" w:cs="Arial"/>
          <w:sz w:val="24"/>
          <w:szCs w:val="24"/>
        </w:rPr>
      </w:pPr>
      <w:r w:rsidRPr="006C074A">
        <w:rPr>
          <w:rFonts w:ascii="Arial" w:eastAsia="Calibri" w:hAnsi="Arial" w:cs="Arial"/>
          <w:sz w:val="24"/>
          <w:szCs w:val="24"/>
        </w:rPr>
        <w:t>La Espectroscopia de reflectancia difusa UV/Vis,</w:t>
      </w:r>
      <w:r w:rsidR="002E2C85">
        <w:rPr>
          <w:rFonts w:ascii="Arial" w:eastAsia="Calibri" w:hAnsi="Arial" w:cs="Arial"/>
          <w:sz w:val="24"/>
          <w:szCs w:val="24"/>
        </w:rPr>
        <w:t xml:space="preserve"> </w:t>
      </w:r>
      <w:r w:rsidRPr="006C074A">
        <w:rPr>
          <w:rFonts w:ascii="Arial" w:eastAsia="Calibri" w:hAnsi="Arial" w:cs="Arial"/>
          <w:sz w:val="24"/>
          <w:szCs w:val="24"/>
        </w:rPr>
        <w:t xml:space="preserve">permite la evaluación de la banda de activación (“bandgap”) y proporciona un espectro en el que se observa la longitud de onda en donde ocurre la absorción de luz por parte del catalizador para determinar si existía un corrimiento de la banda de activación </w:t>
      </w:r>
      <w:r w:rsidRPr="006C074A">
        <w:rPr>
          <w:rFonts w:ascii="Arial" w:eastAsia="Calibri" w:hAnsi="Arial" w:cs="Arial"/>
          <w:sz w:val="24"/>
          <w:szCs w:val="24"/>
        </w:rPr>
        <w:lastRenderedPageBreak/>
        <w:t>del catalizador impurificado hacía la región de luz visible debido a la presencia del metal durante la síntesis de este catalizador.</w:t>
      </w:r>
    </w:p>
    <w:p w:rsidR="00ED3891" w:rsidRPr="006C074A" w:rsidRDefault="00ED3891" w:rsidP="00ED3891">
      <w:pPr>
        <w:spacing w:after="0"/>
        <w:jc w:val="center"/>
        <w:rPr>
          <w:rFonts w:ascii="Arial" w:hAnsi="Arial" w:cs="Arial"/>
          <w:sz w:val="24"/>
          <w:szCs w:val="24"/>
        </w:rPr>
      </w:pPr>
      <w:r w:rsidRPr="006C074A">
        <w:rPr>
          <w:rFonts w:ascii="Arial" w:hAnsi="Arial" w:cs="Arial"/>
          <w:noProof/>
          <w:sz w:val="24"/>
          <w:szCs w:val="24"/>
          <w:lang w:eastAsia="es-MX"/>
        </w:rPr>
        <mc:AlternateContent>
          <mc:Choice Requires="wps">
            <w:drawing>
              <wp:anchor distT="0" distB="0" distL="114300" distR="114300" simplePos="0" relativeHeight="251664384" behindDoc="0" locked="0" layoutInCell="1" allowOverlap="1" wp14:anchorId="0C01364A" wp14:editId="258C7C71">
                <wp:simplePos x="0" y="0"/>
                <wp:positionH relativeFrom="column">
                  <wp:posOffset>3140075</wp:posOffset>
                </wp:positionH>
                <wp:positionV relativeFrom="paragraph">
                  <wp:posOffset>165100</wp:posOffset>
                </wp:positionV>
                <wp:extent cx="371475" cy="2667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3891" w:rsidRPr="00BC58B4" w:rsidRDefault="00ED3891" w:rsidP="00ED3891">
                            <w:pPr>
                              <w:jc w:val="center"/>
                              <w:rPr>
                                <w:b/>
                                <w:bCs/>
                                <w:color w:val="000000"/>
                                <w:sz w:val="20"/>
                                <w:szCs w:val="20"/>
                              </w:rPr>
                            </w:pPr>
                            <w:r w:rsidRPr="00BC58B4">
                              <w:rPr>
                                <w:rFonts w:ascii="Times New Roman" w:hAnsi="Times New Roman" w:cs="Times New Roman"/>
                                <w:b/>
                                <w:bCs/>
                                <w:noProof/>
                                <w:color w:val="000000"/>
                                <w:sz w:val="20"/>
                                <w:szCs w:val="20"/>
                                <w:lang w:eastAsia="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1364A" id="_x0000_t202" coordsize="21600,21600" o:spt="202" path="m,l,21600r21600,l21600,xe">
                <v:stroke joinstyle="miter"/>
                <v:path gradientshapeok="t" o:connecttype="rect"/>
              </v:shapetype>
              <v:shape id="Cuadro de texto 3" o:spid="_x0000_s1026" type="#_x0000_t202" style="position:absolute;left:0;text-align:left;margin-left:247.25pt;margin-top:13pt;width:2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" filled="f" stroked="f" strokeweight=".5pt">
                <v:path arrowok="t"/>
                <v:textbox>
                  <w:txbxContent>
                    <w:p w:rsidR="00ED3891" w:rsidRPr="00BC58B4" w:rsidRDefault="00ED3891" w:rsidP="00ED3891">
                      <w:pPr>
                        <w:jc w:val="center"/>
                        <w:rPr>
                          <w:b/>
                          <w:bCs/>
                          <w:color w:val="000000"/>
                          <w:sz w:val="20"/>
                          <w:szCs w:val="20"/>
                        </w:rPr>
                      </w:pPr>
                      <w:r w:rsidRPr="00BC58B4">
                        <w:rPr>
                          <w:rFonts w:ascii="Times New Roman" w:hAnsi="Times New Roman" w:cs="Times New Roman"/>
                          <w:b/>
                          <w:bCs/>
                          <w:noProof/>
                          <w:color w:val="000000"/>
                          <w:sz w:val="20"/>
                          <w:szCs w:val="20"/>
                          <w:lang w:eastAsia="es-MX"/>
                        </w:rPr>
                        <w:t>(b)</w:t>
                      </w:r>
                    </w:p>
                  </w:txbxContent>
                </v:textbox>
              </v:shape>
            </w:pict>
          </mc:Fallback>
        </mc:AlternateContent>
      </w:r>
      <w:r w:rsidRPr="006C074A">
        <w:rPr>
          <w:rFonts w:ascii="Arial" w:hAnsi="Arial" w:cs="Arial"/>
          <w:noProof/>
          <w:sz w:val="24"/>
          <w:szCs w:val="24"/>
          <w:lang w:eastAsia="es-MX"/>
        </w:rPr>
        <mc:AlternateContent>
          <mc:Choice Requires="wps">
            <w:drawing>
              <wp:anchor distT="0" distB="0" distL="114300" distR="114300" simplePos="0" relativeHeight="251663360" behindDoc="0" locked="0" layoutInCell="1" allowOverlap="1" wp14:anchorId="198EC070" wp14:editId="147943CF">
                <wp:simplePos x="0" y="0"/>
                <wp:positionH relativeFrom="column">
                  <wp:posOffset>791210</wp:posOffset>
                </wp:positionH>
                <wp:positionV relativeFrom="paragraph">
                  <wp:posOffset>184150</wp:posOffset>
                </wp:positionV>
                <wp:extent cx="371475" cy="2667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3891" w:rsidRPr="00BC58B4" w:rsidRDefault="00ED3891" w:rsidP="00ED3891">
                            <w:pPr>
                              <w:jc w:val="center"/>
                              <w:rPr>
                                <w:b/>
                                <w:bCs/>
                                <w:color w:val="000000"/>
                                <w:sz w:val="20"/>
                                <w:szCs w:val="20"/>
                              </w:rPr>
                            </w:pPr>
                            <w:r w:rsidRPr="00BC58B4">
                              <w:rPr>
                                <w:rFonts w:ascii="Times New Roman" w:hAnsi="Times New Roman" w:cs="Times New Roman"/>
                                <w:b/>
                                <w:bCs/>
                                <w:noProof/>
                                <w:color w:val="000000"/>
                                <w:sz w:val="20"/>
                                <w:szCs w:val="20"/>
                                <w:lang w:eastAsia="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EC070" id="Cuadro de texto 2" o:spid="_x0000_s1027" type="#_x0000_t202" style="position:absolute;left:0;text-align:left;margin-left:62.3pt;margin-top:14.5pt;width:29.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" filled="f" stroked="f" strokeweight=".5pt">
                <v:path arrowok="t"/>
                <v:textbox>
                  <w:txbxContent>
                    <w:p w:rsidR="00ED3891" w:rsidRPr="00BC58B4" w:rsidRDefault="00ED3891" w:rsidP="00ED3891">
                      <w:pPr>
                        <w:jc w:val="center"/>
                        <w:rPr>
                          <w:b/>
                          <w:bCs/>
                          <w:color w:val="000000"/>
                          <w:sz w:val="20"/>
                          <w:szCs w:val="20"/>
                        </w:rPr>
                      </w:pPr>
                      <w:r w:rsidRPr="00BC58B4">
                        <w:rPr>
                          <w:rFonts w:ascii="Times New Roman" w:hAnsi="Times New Roman" w:cs="Times New Roman"/>
                          <w:b/>
                          <w:bCs/>
                          <w:noProof/>
                          <w:color w:val="000000"/>
                          <w:sz w:val="20"/>
                          <w:szCs w:val="20"/>
                          <w:lang w:eastAsia="es-MX"/>
                        </w:rPr>
                        <w:t>(a)</w:t>
                      </w:r>
                    </w:p>
                  </w:txbxContent>
                </v:textbox>
              </v:shape>
            </w:pict>
          </mc:Fallback>
        </mc:AlternateContent>
      </w:r>
      <w:r w:rsidRPr="006C074A">
        <w:rPr>
          <w:rFonts w:ascii="Arial" w:hAnsi="Arial" w:cs="Arial"/>
          <w:sz w:val="24"/>
          <w:szCs w:val="24"/>
        </w:rPr>
        <w:object w:dxaOrig="6005" w:dyaOrig="4746">
          <v:shape id="_x0000_i1027" type="#_x0000_t75" style="width:201.6pt;height:129.6pt" o:ole="">
            <v:imagedata r:id="rId20" o:title=""/>
          </v:shape>
          <o:OLEObject Type="Embed" ProgID="Origin50.Graph" ShapeID="_x0000_i1027" DrawAspect="Content" ObjectID="_1491817384" r:id="rId21"/>
        </w:object>
      </w:r>
      <w:r w:rsidRPr="006C074A">
        <w:rPr>
          <w:rFonts w:ascii="Arial" w:hAnsi="Arial" w:cs="Arial"/>
          <w:sz w:val="24"/>
          <w:szCs w:val="24"/>
        </w:rPr>
        <w:t xml:space="preserve"> </w:t>
      </w:r>
      <w:r w:rsidRPr="006C074A">
        <w:rPr>
          <w:rFonts w:ascii="Arial" w:hAnsi="Arial" w:cs="Arial"/>
          <w:sz w:val="24"/>
          <w:szCs w:val="24"/>
        </w:rPr>
        <w:object w:dxaOrig="6005" w:dyaOrig="4746">
          <v:shape id="_x0000_i1028" type="#_x0000_t75" style="width:3in;height:129.6pt" o:ole="">
            <v:imagedata r:id="rId22" o:title=""/>
          </v:shape>
          <o:OLEObject Type="Embed" ProgID="Origin50.Graph" ShapeID="_x0000_i1028" DrawAspect="Content" ObjectID="_1491817385" r:id="rId23"/>
        </w:object>
      </w:r>
    </w:p>
    <w:p w:rsidR="00ED3891" w:rsidRPr="006C074A" w:rsidRDefault="00ED3891" w:rsidP="00ED3891">
      <w:pPr>
        <w:spacing w:after="0"/>
        <w:rPr>
          <w:rFonts w:ascii="Arial" w:hAnsi="Arial" w:cs="Arial"/>
          <w:sz w:val="24"/>
          <w:szCs w:val="24"/>
        </w:rPr>
      </w:pPr>
      <w:r w:rsidRPr="006C074A">
        <w:rPr>
          <w:rFonts w:ascii="Arial" w:hAnsi="Arial" w:cs="Arial"/>
          <w:b/>
          <w:bCs/>
          <w:sz w:val="24"/>
          <w:szCs w:val="24"/>
        </w:rPr>
        <w:t xml:space="preserve">Figura </w:t>
      </w:r>
      <w:r w:rsidRPr="006C074A">
        <w:rPr>
          <w:rFonts w:ascii="Arial" w:hAnsi="Arial" w:cs="Arial"/>
          <w:b/>
          <w:bCs/>
          <w:color w:val="000000"/>
          <w:sz w:val="24"/>
          <w:szCs w:val="24"/>
        </w:rPr>
        <w:t>5</w:t>
      </w:r>
      <w:r w:rsidRPr="006C074A">
        <w:rPr>
          <w:rFonts w:ascii="Arial" w:hAnsi="Arial" w:cs="Arial"/>
          <w:b/>
          <w:bCs/>
          <w:sz w:val="24"/>
          <w:szCs w:val="24"/>
        </w:rPr>
        <w:t>.</w:t>
      </w:r>
      <w:r w:rsidRPr="006C074A">
        <w:rPr>
          <w:rFonts w:ascii="Arial" w:hAnsi="Arial" w:cs="Arial"/>
          <w:sz w:val="24"/>
          <w:szCs w:val="24"/>
        </w:rPr>
        <w:t xml:space="preserve"> Construcciones geométricas para determinar el ancho de banda de absorción óptica en función de (a) longitud de onda y (b) energía fotónica.</w:t>
      </w:r>
    </w:p>
    <w:p w:rsidR="00ED3891" w:rsidRPr="006C074A" w:rsidRDefault="00ED3891" w:rsidP="00ED3891">
      <w:pPr>
        <w:spacing w:after="0"/>
        <w:rPr>
          <w:rFonts w:ascii="Arial" w:hAnsi="Arial" w:cs="Arial"/>
          <w:sz w:val="24"/>
          <w:szCs w:val="24"/>
        </w:rPr>
      </w:pPr>
    </w:p>
    <w:p w:rsidR="00ED3891" w:rsidRPr="006C074A" w:rsidRDefault="00ED3891" w:rsidP="00ED3891">
      <w:pPr>
        <w:spacing w:after="0"/>
        <w:jc w:val="both"/>
        <w:rPr>
          <w:rFonts w:ascii="Arial" w:eastAsia="Calibri" w:hAnsi="Arial" w:cs="Arial"/>
          <w:sz w:val="24"/>
          <w:szCs w:val="24"/>
        </w:rPr>
      </w:pPr>
      <w:r w:rsidRPr="006C074A">
        <w:rPr>
          <w:rFonts w:ascii="Arial" w:hAnsi="Arial" w:cs="Arial"/>
          <w:color w:val="000000"/>
          <w:sz w:val="24"/>
          <w:szCs w:val="24"/>
        </w:rPr>
        <w:t>En estos espectros se observa cómo varía la absorción de luz de distintas longitudes de onda por el TiO</w:t>
      </w:r>
      <w:r w:rsidRPr="006C074A">
        <w:rPr>
          <w:rFonts w:ascii="Arial" w:hAnsi="Arial" w:cs="Arial"/>
          <w:color w:val="000000"/>
          <w:sz w:val="24"/>
          <w:szCs w:val="24"/>
          <w:vertAlign w:val="subscript"/>
        </w:rPr>
        <w:t>2</w:t>
      </w:r>
      <w:r w:rsidRPr="006C074A">
        <w:rPr>
          <w:rFonts w:ascii="Arial" w:hAnsi="Arial" w:cs="Arial"/>
          <w:color w:val="000000"/>
          <w:sz w:val="24"/>
          <w:szCs w:val="24"/>
        </w:rPr>
        <w:t xml:space="preserve"> puro, para el cual se tienen valores reportados de band gap igual a 3.22 eV </w:t>
      </w:r>
      <w:r w:rsidRPr="006C074A">
        <w:rPr>
          <w:rFonts w:ascii="Arial" w:hAnsi="Arial" w:cs="Arial"/>
          <w:sz w:val="24"/>
          <w:szCs w:val="24"/>
        </w:rPr>
        <w:t>[</w:t>
      </w:r>
      <w:r w:rsidR="005F64C9" w:rsidRPr="006C074A">
        <w:rPr>
          <w:rFonts w:ascii="Arial" w:hAnsi="Arial" w:cs="Arial"/>
          <w:sz w:val="24"/>
          <w:szCs w:val="24"/>
        </w:rPr>
        <w:t>1</w:t>
      </w:r>
      <w:r w:rsidRPr="006C074A">
        <w:rPr>
          <w:rFonts w:ascii="Arial" w:hAnsi="Arial" w:cs="Arial"/>
          <w:color w:val="000000"/>
          <w:sz w:val="24"/>
          <w:szCs w:val="24"/>
        </w:rPr>
        <w:t>5</w:t>
      </w:r>
      <w:r w:rsidR="005F64C9" w:rsidRPr="006C074A">
        <w:rPr>
          <w:rFonts w:ascii="Arial" w:hAnsi="Arial" w:cs="Arial"/>
          <w:color w:val="000000"/>
          <w:sz w:val="24"/>
          <w:szCs w:val="24"/>
        </w:rPr>
        <w:t>-16</w:t>
      </w:r>
      <w:r w:rsidRPr="006C074A">
        <w:rPr>
          <w:rFonts w:ascii="Arial" w:hAnsi="Arial" w:cs="Arial"/>
          <w:sz w:val="24"/>
          <w:szCs w:val="24"/>
        </w:rPr>
        <w:t>]</w:t>
      </w:r>
      <w:r w:rsidR="005F64C9" w:rsidRPr="006C074A">
        <w:rPr>
          <w:rFonts w:ascii="Arial" w:hAnsi="Arial" w:cs="Arial"/>
          <w:sz w:val="24"/>
          <w:szCs w:val="24"/>
        </w:rPr>
        <w:t>. P</w:t>
      </w:r>
      <w:r w:rsidRPr="006C074A">
        <w:rPr>
          <w:rFonts w:ascii="Arial" w:hAnsi="Arial" w:cs="Arial"/>
          <w:sz w:val="24"/>
          <w:szCs w:val="24"/>
        </w:rPr>
        <w:t xml:space="preserve">ara esta muestra la absorción de luz es alta desde los 330 nm hasta 345 nm, luego disminuye </w:t>
      </w:r>
      <w:r w:rsidRPr="006C074A">
        <w:rPr>
          <w:rFonts w:ascii="Arial" w:hAnsi="Arial" w:cs="Arial"/>
          <w:i/>
          <w:iCs/>
          <w:sz w:val="24"/>
          <w:szCs w:val="24"/>
        </w:rPr>
        <w:t>linealmente</w:t>
      </w:r>
      <w:r w:rsidRPr="006C074A">
        <w:rPr>
          <w:rFonts w:ascii="Arial" w:hAnsi="Arial" w:cs="Arial"/>
          <w:sz w:val="24"/>
          <w:szCs w:val="24"/>
        </w:rPr>
        <w:t xml:space="preserve"> hasta 375 nm y finalmente desciende a cero aproximadamente a 425 nm. Esto quiere decir que el TiO</w:t>
      </w:r>
      <w:r w:rsidRPr="006C074A">
        <w:rPr>
          <w:rFonts w:ascii="Arial" w:hAnsi="Arial" w:cs="Arial"/>
          <w:sz w:val="24"/>
          <w:szCs w:val="24"/>
          <w:vertAlign w:val="subscript"/>
        </w:rPr>
        <w:t>2</w:t>
      </w:r>
      <w:r w:rsidRPr="006C074A">
        <w:rPr>
          <w:rFonts w:ascii="Arial" w:hAnsi="Arial" w:cs="Arial"/>
          <w:sz w:val="24"/>
          <w:szCs w:val="24"/>
        </w:rPr>
        <w:t xml:space="preserve"> puro absorbe poca luz visible, lo cual lo hace inapropiado para aplicaciones ambientales en donde se pueda usar directamente la luz solar; por ello, mediante el dopaje con metales a distintas concentraciones se busca extender el espectro de absorción del TiO</w:t>
      </w:r>
      <w:r w:rsidRPr="006C074A">
        <w:rPr>
          <w:rFonts w:ascii="Arial" w:hAnsi="Arial" w:cs="Arial"/>
          <w:sz w:val="24"/>
          <w:szCs w:val="24"/>
          <w:vertAlign w:val="subscript"/>
        </w:rPr>
        <w:t>2</w:t>
      </w:r>
      <w:r w:rsidRPr="006C074A">
        <w:rPr>
          <w:rFonts w:ascii="Arial" w:hAnsi="Arial" w:cs="Arial"/>
          <w:sz w:val="24"/>
          <w:szCs w:val="24"/>
        </w:rPr>
        <w:t xml:space="preserve"> a longitudes de onda que se encuentren dentro de la zona visible del espectro electromagnético (λ&gt;400 nm).</w:t>
      </w:r>
    </w:p>
    <w:p w:rsidR="00ED3891" w:rsidRPr="006C074A" w:rsidRDefault="00ED3891" w:rsidP="00ED3891">
      <w:pPr>
        <w:spacing w:after="0"/>
        <w:jc w:val="center"/>
        <w:rPr>
          <w:rFonts w:ascii="Arial" w:hAnsi="Arial" w:cs="Arial"/>
          <w:sz w:val="24"/>
          <w:szCs w:val="24"/>
        </w:rPr>
      </w:pPr>
      <w:r w:rsidRPr="006C074A">
        <w:rPr>
          <w:rFonts w:ascii="Arial" w:hAnsi="Arial" w:cs="Arial"/>
          <w:b/>
          <w:bCs/>
          <w:sz w:val="24"/>
          <w:szCs w:val="24"/>
        </w:rPr>
        <w:t xml:space="preserve">Tabla </w:t>
      </w:r>
      <w:r w:rsidRPr="006C074A">
        <w:rPr>
          <w:rFonts w:ascii="Arial" w:hAnsi="Arial" w:cs="Arial"/>
          <w:b/>
          <w:bCs/>
          <w:color w:val="000000"/>
          <w:sz w:val="24"/>
          <w:szCs w:val="24"/>
        </w:rPr>
        <w:t>5</w:t>
      </w:r>
      <w:r w:rsidRPr="006C074A">
        <w:rPr>
          <w:rFonts w:ascii="Arial" w:hAnsi="Arial" w:cs="Arial"/>
          <w:b/>
          <w:bCs/>
          <w:sz w:val="24"/>
          <w:szCs w:val="24"/>
        </w:rPr>
        <w:t xml:space="preserve">. </w:t>
      </w:r>
      <w:r w:rsidRPr="006C074A">
        <w:rPr>
          <w:rFonts w:ascii="Arial" w:hAnsi="Arial" w:cs="Arial"/>
          <w:sz w:val="24"/>
          <w:szCs w:val="24"/>
        </w:rPr>
        <w:t>Características de absorción óptica de los catalizadores Fe-TiO</w:t>
      </w:r>
      <w:r w:rsidRPr="006C074A">
        <w:rPr>
          <w:rFonts w:ascii="Arial" w:hAnsi="Arial" w:cs="Arial"/>
          <w:sz w:val="24"/>
          <w:szCs w:val="24"/>
          <w:vertAlign w:val="subscript"/>
        </w:rPr>
        <w:t>2</w:t>
      </w:r>
      <w:r w:rsidRPr="006C074A">
        <w:rPr>
          <w:rFonts w:ascii="Arial" w:hAnsi="Arial" w:cs="Arial"/>
          <w:sz w:val="24"/>
          <w:szCs w:val="24"/>
        </w:rPr>
        <w:t>.</w:t>
      </w:r>
    </w:p>
    <w:tbl>
      <w:tblPr>
        <w:tblpPr w:leftFromText="141" w:rightFromText="141"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7"/>
        <w:gridCol w:w="1150"/>
        <w:gridCol w:w="1417"/>
        <w:gridCol w:w="1276"/>
      </w:tblGrid>
      <w:tr w:rsidR="00ED3891" w:rsidRPr="006C074A" w:rsidTr="002808AA">
        <w:tc>
          <w:tcPr>
            <w:tcW w:w="2077" w:type="dxa"/>
            <w:tcBorders>
              <w:top w:val="single" w:sz="12" w:space="0" w:color="auto"/>
              <w:left w:val="single" w:sz="12" w:space="0" w:color="auto"/>
              <w:bottom w:val="single" w:sz="12" w:space="0" w:color="auto"/>
              <w:right w:val="single" w:sz="12" w:space="0" w:color="auto"/>
            </w:tcBorders>
            <w:vAlign w:val="center"/>
          </w:tcPr>
          <w:p w:rsidR="00ED3891" w:rsidRPr="006C074A" w:rsidRDefault="00ED3891" w:rsidP="002808AA">
            <w:pPr>
              <w:spacing w:after="0" w:line="240" w:lineRule="auto"/>
              <w:jc w:val="center"/>
              <w:rPr>
                <w:rFonts w:ascii="Arial" w:hAnsi="Arial" w:cs="Arial"/>
                <w:b/>
                <w:bCs/>
                <w:sz w:val="24"/>
                <w:szCs w:val="24"/>
              </w:rPr>
            </w:pPr>
            <w:r w:rsidRPr="006C074A">
              <w:rPr>
                <w:rFonts w:ascii="Arial" w:hAnsi="Arial" w:cs="Arial"/>
                <w:b/>
                <w:bCs/>
                <w:sz w:val="24"/>
                <w:szCs w:val="24"/>
              </w:rPr>
              <w:t>Catalizador</w:t>
            </w:r>
          </w:p>
        </w:tc>
        <w:tc>
          <w:tcPr>
            <w:tcW w:w="1150" w:type="dxa"/>
            <w:tcBorders>
              <w:top w:val="single" w:sz="12" w:space="0" w:color="auto"/>
              <w:left w:val="single" w:sz="12" w:space="0" w:color="auto"/>
              <w:bottom w:val="single" w:sz="12" w:space="0" w:color="auto"/>
              <w:right w:val="single" w:sz="12" w:space="0" w:color="auto"/>
            </w:tcBorders>
            <w:vAlign w:val="center"/>
          </w:tcPr>
          <w:p w:rsidR="00ED3891" w:rsidRPr="006C074A" w:rsidRDefault="00ED3891" w:rsidP="002808AA">
            <w:pPr>
              <w:spacing w:after="0" w:line="240" w:lineRule="auto"/>
              <w:jc w:val="center"/>
              <w:rPr>
                <w:rFonts w:ascii="Arial" w:hAnsi="Arial" w:cs="Arial"/>
                <w:b/>
                <w:bCs/>
                <w:sz w:val="24"/>
                <w:szCs w:val="24"/>
              </w:rPr>
            </w:pPr>
            <w:r w:rsidRPr="006C074A">
              <w:rPr>
                <w:rFonts w:ascii="Arial" w:hAnsi="Arial" w:cs="Arial"/>
                <w:b/>
                <w:bCs/>
                <w:sz w:val="24"/>
                <w:szCs w:val="24"/>
              </w:rPr>
              <w:t>T</w:t>
            </w:r>
            <w:r w:rsidRPr="006C074A">
              <w:rPr>
                <w:rFonts w:ascii="Arial" w:hAnsi="Arial" w:cs="Arial"/>
                <w:b/>
                <w:bCs/>
                <w:sz w:val="24"/>
                <w:szCs w:val="24"/>
                <w:vertAlign w:val="subscript"/>
              </w:rPr>
              <w:t>calc</w:t>
            </w:r>
            <w:r w:rsidRPr="006C074A">
              <w:rPr>
                <w:rFonts w:ascii="Arial" w:hAnsi="Arial" w:cs="Arial"/>
                <w:b/>
                <w:bCs/>
                <w:sz w:val="24"/>
                <w:szCs w:val="24"/>
              </w:rPr>
              <w:t xml:space="preserve"> (°C)</w:t>
            </w:r>
          </w:p>
        </w:tc>
        <w:tc>
          <w:tcPr>
            <w:tcW w:w="1417" w:type="dxa"/>
            <w:tcBorders>
              <w:top w:val="single" w:sz="12" w:space="0" w:color="auto"/>
              <w:bottom w:val="single" w:sz="12" w:space="0" w:color="auto"/>
              <w:right w:val="single" w:sz="12" w:space="0" w:color="auto"/>
            </w:tcBorders>
            <w:vAlign w:val="center"/>
          </w:tcPr>
          <w:p w:rsidR="00ED3891" w:rsidRPr="006C074A" w:rsidRDefault="00ED3891" w:rsidP="002808AA">
            <w:pPr>
              <w:spacing w:after="0" w:line="240" w:lineRule="auto"/>
              <w:jc w:val="center"/>
              <w:rPr>
                <w:rFonts w:ascii="Arial" w:hAnsi="Arial" w:cs="Arial"/>
                <w:b/>
                <w:bCs/>
                <w:sz w:val="24"/>
                <w:szCs w:val="24"/>
              </w:rPr>
            </w:pPr>
            <w:r w:rsidRPr="006C074A">
              <w:rPr>
                <w:rFonts w:ascii="Arial" w:hAnsi="Arial" w:cs="Arial"/>
                <w:b/>
                <w:bCs/>
                <w:sz w:val="24"/>
                <w:szCs w:val="24"/>
              </w:rPr>
              <w:t>λ</w:t>
            </w:r>
            <w:r w:rsidRPr="006C074A">
              <w:rPr>
                <w:rFonts w:ascii="Arial" w:hAnsi="Arial" w:cs="Arial"/>
                <w:b/>
                <w:bCs/>
                <w:sz w:val="24"/>
                <w:szCs w:val="24"/>
                <w:vertAlign w:val="subscript"/>
              </w:rPr>
              <w:t>max</w:t>
            </w:r>
            <w:r w:rsidRPr="006C074A">
              <w:rPr>
                <w:rFonts w:ascii="Arial" w:hAnsi="Arial" w:cs="Arial"/>
                <w:b/>
                <w:bCs/>
                <w:sz w:val="24"/>
                <w:szCs w:val="24"/>
              </w:rPr>
              <w:t xml:space="preserve"> (nm)</w:t>
            </w:r>
          </w:p>
        </w:tc>
        <w:tc>
          <w:tcPr>
            <w:tcW w:w="1276" w:type="dxa"/>
            <w:tcBorders>
              <w:top w:val="single" w:sz="12" w:space="0" w:color="auto"/>
              <w:bottom w:val="single" w:sz="12" w:space="0" w:color="auto"/>
              <w:right w:val="single" w:sz="12" w:space="0" w:color="auto"/>
            </w:tcBorders>
          </w:tcPr>
          <w:p w:rsidR="00ED3891" w:rsidRPr="006C074A" w:rsidRDefault="00ED3891" w:rsidP="002808AA">
            <w:pPr>
              <w:spacing w:after="0" w:line="240" w:lineRule="auto"/>
              <w:jc w:val="center"/>
              <w:rPr>
                <w:rFonts w:ascii="Arial" w:hAnsi="Arial" w:cs="Arial"/>
                <w:b/>
                <w:bCs/>
                <w:sz w:val="24"/>
                <w:szCs w:val="24"/>
              </w:rPr>
            </w:pPr>
            <w:r w:rsidRPr="006C074A">
              <w:rPr>
                <w:rFonts w:ascii="Arial" w:hAnsi="Arial" w:cs="Arial"/>
                <w:b/>
                <w:bCs/>
                <w:sz w:val="24"/>
                <w:szCs w:val="24"/>
              </w:rPr>
              <w:t>E</w:t>
            </w:r>
            <w:r w:rsidRPr="006C074A">
              <w:rPr>
                <w:rFonts w:ascii="Arial" w:hAnsi="Arial" w:cs="Arial"/>
                <w:b/>
                <w:bCs/>
                <w:sz w:val="24"/>
                <w:szCs w:val="24"/>
                <w:vertAlign w:val="subscript"/>
              </w:rPr>
              <w:t>g</w:t>
            </w:r>
            <w:r w:rsidRPr="006C074A">
              <w:rPr>
                <w:rFonts w:ascii="Arial" w:hAnsi="Arial" w:cs="Arial"/>
                <w:b/>
                <w:bCs/>
                <w:sz w:val="24"/>
                <w:szCs w:val="24"/>
              </w:rPr>
              <w:t xml:space="preserve"> (eV)</w:t>
            </w:r>
          </w:p>
        </w:tc>
      </w:tr>
      <w:tr w:rsidR="00ED3891" w:rsidRPr="006C074A" w:rsidTr="002808AA">
        <w:tc>
          <w:tcPr>
            <w:tcW w:w="2077" w:type="dxa"/>
            <w:vMerge w:val="restart"/>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0.05% Fe-TiO</w:t>
            </w:r>
            <w:r w:rsidRPr="006C074A">
              <w:rPr>
                <w:rFonts w:ascii="Arial" w:hAnsi="Arial" w:cs="Arial"/>
                <w:sz w:val="24"/>
                <w:szCs w:val="24"/>
                <w:vertAlign w:val="subscript"/>
              </w:rPr>
              <w:t>2</w:t>
            </w:r>
          </w:p>
        </w:tc>
        <w:tc>
          <w:tcPr>
            <w:tcW w:w="1150"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400</w:t>
            </w:r>
          </w:p>
        </w:tc>
        <w:tc>
          <w:tcPr>
            <w:tcW w:w="1417"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389</w:t>
            </w:r>
          </w:p>
        </w:tc>
        <w:tc>
          <w:tcPr>
            <w:tcW w:w="1276"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3.19</w:t>
            </w:r>
          </w:p>
        </w:tc>
      </w:tr>
      <w:tr w:rsidR="00ED3891" w:rsidRPr="006C074A" w:rsidTr="002808AA">
        <w:tc>
          <w:tcPr>
            <w:tcW w:w="2077" w:type="dxa"/>
            <w:vMerge/>
            <w:vAlign w:val="center"/>
          </w:tcPr>
          <w:p w:rsidR="00ED3891" w:rsidRPr="006C074A" w:rsidRDefault="00ED3891" w:rsidP="002808AA">
            <w:pPr>
              <w:spacing w:after="0" w:line="240" w:lineRule="auto"/>
              <w:jc w:val="center"/>
              <w:rPr>
                <w:rFonts w:ascii="Arial" w:hAnsi="Arial" w:cs="Arial"/>
                <w:sz w:val="24"/>
                <w:szCs w:val="24"/>
              </w:rPr>
            </w:pP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500</w:t>
            </w:r>
          </w:p>
        </w:tc>
        <w:tc>
          <w:tcPr>
            <w:tcW w:w="141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388</w:t>
            </w:r>
          </w:p>
        </w:tc>
        <w:tc>
          <w:tcPr>
            <w:tcW w:w="1276"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3.20</w:t>
            </w:r>
          </w:p>
        </w:tc>
      </w:tr>
      <w:tr w:rsidR="00ED3891" w:rsidRPr="006C074A" w:rsidTr="002808AA">
        <w:tc>
          <w:tcPr>
            <w:tcW w:w="2077" w:type="dxa"/>
            <w:vMerge/>
            <w:vAlign w:val="center"/>
          </w:tcPr>
          <w:p w:rsidR="00ED3891" w:rsidRPr="006C074A" w:rsidRDefault="00ED3891" w:rsidP="002808AA">
            <w:pPr>
              <w:spacing w:after="0" w:line="240" w:lineRule="auto"/>
              <w:jc w:val="center"/>
              <w:rPr>
                <w:rFonts w:ascii="Arial" w:hAnsi="Arial" w:cs="Arial"/>
                <w:sz w:val="24"/>
                <w:szCs w:val="24"/>
              </w:rPr>
            </w:pP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600</w:t>
            </w:r>
          </w:p>
        </w:tc>
        <w:tc>
          <w:tcPr>
            <w:tcW w:w="141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388</w:t>
            </w:r>
          </w:p>
        </w:tc>
        <w:tc>
          <w:tcPr>
            <w:tcW w:w="1276"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3.20</w:t>
            </w:r>
          </w:p>
        </w:tc>
      </w:tr>
      <w:tr w:rsidR="00ED3891" w:rsidRPr="006C074A" w:rsidTr="002808AA">
        <w:tc>
          <w:tcPr>
            <w:tcW w:w="2077" w:type="dxa"/>
            <w:vMerge/>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p>
        </w:tc>
        <w:tc>
          <w:tcPr>
            <w:tcW w:w="1150"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700</w:t>
            </w:r>
          </w:p>
        </w:tc>
        <w:tc>
          <w:tcPr>
            <w:tcW w:w="1417"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395</w:t>
            </w:r>
          </w:p>
        </w:tc>
        <w:tc>
          <w:tcPr>
            <w:tcW w:w="1276"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3.14</w:t>
            </w:r>
          </w:p>
        </w:tc>
      </w:tr>
      <w:tr w:rsidR="00ED3891" w:rsidRPr="006C074A" w:rsidTr="002808AA">
        <w:tc>
          <w:tcPr>
            <w:tcW w:w="2077" w:type="dxa"/>
            <w:vMerge w:val="restart"/>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0.10% Fe-TiO</w:t>
            </w:r>
            <w:r w:rsidRPr="006C074A">
              <w:rPr>
                <w:rFonts w:ascii="Arial" w:hAnsi="Arial" w:cs="Arial"/>
                <w:sz w:val="24"/>
                <w:szCs w:val="24"/>
                <w:vertAlign w:val="subscript"/>
              </w:rPr>
              <w:t>2</w:t>
            </w:r>
          </w:p>
        </w:tc>
        <w:tc>
          <w:tcPr>
            <w:tcW w:w="1150"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400</w:t>
            </w:r>
          </w:p>
        </w:tc>
        <w:tc>
          <w:tcPr>
            <w:tcW w:w="1417"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395</w:t>
            </w:r>
          </w:p>
        </w:tc>
        <w:tc>
          <w:tcPr>
            <w:tcW w:w="1276"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3.14</w:t>
            </w:r>
          </w:p>
        </w:tc>
      </w:tr>
      <w:tr w:rsidR="00ED3891" w:rsidRPr="006C074A" w:rsidTr="002808AA">
        <w:tc>
          <w:tcPr>
            <w:tcW w:w="2077" w:type="dxa"/>
            <w:vMerge/>
            <w:vAlign w:val="center"/>
          </w:tcPr>
          <w:p w:rsidR="00ED3891" w:rsidRPr="006C074A" w:rsidRDefault="00ED3891" w:rsidP="002808AA">
            <w:pPr>
              <w:spacing w:after="0" w:line="240" w:lineRule="auto"/>
              <w:jc w:val="center"/>
              <w:rPr>
                <w:rFonts w:ascii="Arial" w:hAnsi="Arial" w:cs="Arial"/>
                <w:sz w:val="24"/>
                <w:szCs w:val="24"/>
              </w:rPr>
            </w:pP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500</w:t>
            </w:r>
          </w:p>
        </w:tc>
        <w:tc>
          <w:tcPr>
            <w:tcW w:w="141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392</w:t>
            </w:r>
          </w:p>
        </w:tc>
        <w:tc>
          <w:tcPr>
            <w:tcW w:w="1276"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3.16</w:t>
            </w:r>
          </w:p>
        </w:tc>
      </w:tr>
      <w:tr w:rsidR="00ED3891" w:rsidRPr="006C074A" w:rsidTr="002808AA">
        <w:tc>
          <w:tcPr>
            <w:tcW w:w="2077" w:type="dxa"/>
            <w:vMerge/>
            <w:vAlign w:val="center"/>
          </w:tcPr>
          <w:p w:rsidR="00ED3891" w:rsidRPr="006C074A" w:rsidRDefault="00ED3891" w:rsidP="002808AA">
            <w:pPr>
              <w:spacing w:after="0" w:line="240" w:lineRule="auto"/>
              <w:jc w:val="center"/>
              <w:rPr>
                <w:rFonts w:ascii="Arial" w:hAnsi="Arial" w:cs="Arial"/>
                <w:sz w:val="24"/>
                <w:szCs w:val="24"/>
              </w:rPr>
            </w:pP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600</w:t>
            </w:r>
          </w:p>
        </w:tc>
        <w:tc>
          <w:tcPr>
            <w:tcW w:w="141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391</w:t>
            </w:r>
          </w:p>
        </w:tc>
        <w:tc>
          <w:tcPr>
            <w:tcW w:w="1276"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3.17</w:t>
            </w:r>
          </w:p>
        </w:tc>
      </w:tr>
      <w:tr w:rsidR="00ED3891" w:rsidRPr="006C074A" w:rsidTr="002808AA">
        <w:tc>
          <w:tcPr>
            <w:tcW w:w="2077" w:type="dxa"/>
            <w:vMerge/>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p>
        </w:tc>
        <w:tc>
          <w:tcPr>
            <w:tcW w:w="1150"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700</w:t>
            </w:r>
          </w:p>
        </w:tc>
        <w:tc>
          <w:tcPr>
            <w:tcW w:w="1417"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399</w:t>
            </w:r>
          </w:p>
        </w:tc>
        <w:tc>
          <w:tcPr>
            <w:tcW w:w="1276"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3.11</w:t>
            </w:r>
          </w:p>
        </w:tc>
      </w:tr>
      <w:tr w:rsidR="00ED3891" w:rsidRPr="006C074A" w:rsidTr="002808AA">
        <w:tc>
          <w:tcPr>
            <w:tcW w:w="2077" w:type="dxa"/>
            <w:vMerge w:val="restart"/>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1.4245% Fe-TiO</w:t>
            </w:r>
            <w:r w:rsidRPr="006C074A">
              <w:rPr>
                <w:rFonts w:ascii="Arial" w:hAnsi="Arial" w:cs="Arial"/>
                <w:sz w:val="24"/>
                <w:szCs w:val="24"/>
                <w:vertAlign w:val="subscript"/>
              </w:rPr>
              <w:t>2</w:t>
            </w:r>
          </w:p>
        </w:tc>
        <w:tc>
          <w:tcPr>
            <w:tcW w:w="1150"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400</w:t>
            </w:r>
          </w:p>
        </w:tc>
        <w:tc>
          <w:tcPr>
            <w:tcW w:w="1417"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403</w:t>
            </w:r>
          </w:p>
        </w:tc>
        <w:tc>
          <w:tcPr>
            <w:tcW w:w="1276" w:type="dxa"/>
            <w:tcBorders>
              <w:top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3.07</w:t>
            </w:r>
          </w:p>
        </w:tc>
      </w:tr>
      <w:tr w:rsidR="00ED3891" w:rsidRPr="006C074A" w:rsidTr="002808AA">
        <w:tc>
          <w:tcPr>
            <w:tcW w:w="2077" w:type="dxa"/>
            <w:vMerge/>
            <w:vAlign w:val="center"/>
          </w:tcPr>
          <w:p w:rsidR="00ED3891" w:rsidRPr="006C074A" w:rsidRDefault="00ED3891" w:rsidP="002808AA">
            <w:pPr>
              <w:spacing w:after="0" w:line="240" w:lineRule="auto"/>
              <w:jc w:val="center"/>
              <w:rPr>
                <w:rFonts w:ascii="Arial" w:hAnsi="Arial" w:cs="Arial"/>
                <w:sz w:val="24"/>
                <w:szCs w:val="24"/>
              </w:rPr>
            </w:pP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500</w:t>
            </w:r>
          </w:p>
        </w:tc>
        <w:tc>
          <w:tcPr>
            <w:tcW w:w="141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405</w:t>
            </w:r>
          </w:p>
        </w:tc>
        <w:tc>
          <w:tcPr>
            <w:tcW w:w="1276"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3.06</w:t>
            </w:r>
          </w:p>
        </w:tc>
      </w:tr>
      <w:tr w:rsidR="00ED3891" w:rsidRPr="006C074A" w:rsidTr="002808AA">
        <w:tc>
          <w:tcPr>
            <w:tcW w:w="2077" w:type="dxa"/>
            <w:vMerge/>
            <w:vAlign w:val="center"/>
          </w:tcPr>
          <w:p w:rsidR="00ED3891" w:rsidRPr="006C074A" w:rsidRDefault="00ED3891" w:rsidP="002808AA">
            <w:pPr>
              <w:spacing w:after="0" w:line="240" w:lineRule="auto"/>
              <w:jc w:val="center"/>
              <w:rPr>
                <w:rFonts w:ascii="Arial" w:hAnsi="Arial" w:cs="Arial"/>
                <w:sz w:val="24"/>
                <w:szCs w:val="24"/>
              </w:rPr>
            </w:pPr>
          </w:p>
        </w:tc>
        <w:tc>
          <w:tcPr>
            <w:tcW w:w="1150"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600</w:t>
            </w:r>
          </w:p>
        </w:tc>
        <w:tc>
          <w:tcPr>
            <w:tcW w:w="1417"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402</w:t>
            </w:r>
          </w:p>
        </w:tc>
        <w:tc>
          <w:tcPr>
            <w:tcW w:w="1276" w:type="dxa"/>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3.08</w:t>
            </w:r>
          </w:p>
        </w:tc>
      </w:tr>
      <w:tr w:rsidR="00ED3891" w:rsidRPr="006C074A" w:rsidTr="002808AA">
        <w:tc>
          <w:tcPr>
            <w:tcW w:w="2077" w:type="dxa"/>
            <w:vMerge/>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p>
        </w:tc>
        <w:tc>
          <w:tcPr>
            <w:tcW w:w="1150"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700</w:t>
            </w:r>
          </w:p>
        </w:tc>
        <w:tc>
          <w:tcPr>
            <w:tcW w:w="1417"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415</w:t>
            </w:r>
          </w:p>
        </w:tc>
        <w:tc>
          <w:tcPr>
            <w:tcW w:w="1276" w:type="dxa"/>
            <w:tcBorders>
              <w:bottom w:val="single" w:sz="12" w:space="0" w:color="auto"/>
            </w:tcBorders>
            <w:vAlign w:val="center"/>
          </w:tcPr>
          <w:p w:rsidR="00ED3891" w:rsidRPr="006C074A" w:rsidRDefault="00ED3891" w:rsidP="002808AA">
            <w:pPr>
              <w:spacing w:after="0" w:line="240" w:lineRule="auto"/>
              <w:jc w:val="center"/>
              <w:rPr>
                <w:rFonts w:ascii="Arial" w:hAnsi="Arial" w:cs="Arial"/>
                <w:sz w:val="24"/>
                <w:szCs w:val="24"/>
              </w:rPr>
            </w:pPr>
            <w:r w:rsidRPr="006C074A">
              <w:rPr>
                <w:rFonts w:ascii="Arial" w:hAnsi="Arial" w:cs="Arial"/>
                <w:sz w:val="24"/>
                <w:szCs w:val="24"/>
              </w:rPr>
              <w:t>2.99</w:t>
            </w:r>
          </w:p>
        </w:tc>
      </w:tr>
    </w:tbl>
    <w:p w:rsidR="00ED3891" w:rsidRPr="006C074A" w:rsidRDefault="00ED3891" w:rsidP="00ED3891">
      <w:pPr>
        <w:jc w:val="both"/>
        <w:rPr>
          <w:rFonts w:ascii="Arial" w:eastAsia="Calibri" w:hAnsi="Arial" w:cs="Arial"/>
          <w:b/>
          <w:sz w:val="24"/>
          <w:szCs w:val="24"/>
        </w:rPr>
      </w:pPr>
    </w:p>
    <w:p w:rsidR="00ED3891" w:rsidRPr="006C074A" w:rsidRDefault="00ED3891" w:rsidP="00ED3891">
      <w:pPr>
        <w:jc w:val="both"/>
        <w:rPr>
          <w:rFonts w:ascii="Arial" w:eastAsia="Calibri" w:hAnsi="Arial" w:cs="Arial"/>
          <w:b/>
          <w:sz w:val="24"/>
          <w:szCs w:val="24"/>
        </w:rPr>
      </w:pPr>
    </w:p>
    <w:p w:rsidR="00ED3891" w:rsidRPr="006C074A" w:rsidRDefault="00ED3891" w:rsidP="00ED3891">
      <w:pPr>
        <w:jc w:val="both"/>
        <w:rPr>
          <w:rFonts w:ascii="Arial" w:eastAsia="Calibri" w:hAnsi="Arial" w:cs="Arial"/>
          <w:b/>
          <w:sz w:val="24"/>
          <w:szCs w:val="24"/>
        </w:rPr>
      </w:pPr>
    </w:p>
    <w:p w:rsidR="00ED3891" w:rsidRPr="006C074A" w:rsidRDefault="00ED3891" w:rsidP="00ED3891">
      <w:pPr>
        <w:jc w:val="both"/>
        <w:rPr>
          <w:rFonts w:ascii="Arial" w:eastAsia="Calibri" w:hAnsi="Arial" w:cs="Arial"/>
          <w:b/>
          <w:sz w:val="24"/>
          <w:szCs w:val="24"/>
        </w:rPr>
      </w:pPr>
    </w:p>
    <w:p w:rsidR="00ED3891" w:rsidRPr="006C074A" w:rsidRDefault="00ED3891" w:rsidP="00ED3891">
      <w:pPr>
        <w:jc w:val="both"/>
        <w:rPr>
          <w:rFonts w:ascii="Arial" w:eastAsia="Calibri" w:hAnsi="Arial" w:cs="Arial"/>
          <w:b/>
          <w:sz w:val="24"/>
          <w:szCs w:val="24"/>
        </w:rPr>
      </w:pPr>
    </w:p>
    <w:p w:rsidR="00ED3891" w:rsidRPr="006C074A" w:rsidRDefault="00ED3891" w:rsidP="00ED3891">
      <w:pPr>
        <w:jc w:val="both"/>
        <w:rPr>
          <w:rFonts w:ascii="Arial" w:eastAsia="Calibri" w:hAnsi="Arial" w:cs="Arial"/>
          <w:sz w:val="24"/>
          <w:szCs w:val="24"/>
        </w:rPr>
      </w:pPr>
    </w:p>
    <w:p w:rsidR="00ED3891" w:rsidRPr="006C074A" w:rsidRDefault="00ED3891" w:rsidP="00ED3891">
      <w:pPr>
        <w:jc w:val="both"/>
        <w:rPr>
          <w:rFonts w:ascii="Arial" w:eastAsia="Calibri" w:hAnsi="Arial" w:cs="Arial"/>
          <w:sz w:val="24"/>
          <w:szCs w:val="24"/>
        </w:rPr>
      </w:pPr>
    </w:p>
    <w:p w:rsidR="00ED3891" w:rsidRPr="006C074A" w:rsidRDefault="00ED3891" w:rsidP="00ED3891">
      <w:pPr>
        <w:jc w:val="both"/>
        <w:rPr>
          <w:rFonts w:ascii="Arial" w:eastAsia="Calibri" w:hAnsi="Arial" w:cs="Arial"/>
          <w:sz w:val="24"/>
          <w:szCs w:val="24"/>
        </w:rPr>
      </w:pPr>
    </w:p>
    <w:p w:rsidR="006C074A" w:rsidRDefault="006C074A" w:rsidP="00ED3891">
      <w:pPr>
        <w:jc w:val="both"/>
        <w:rPr>
          <w:rFonts w:ascii="Arial" w:eastAsia="Calibri" w:hAnsi="Arial" w:cs="Arial"/>
          <w:sz w:val="24"/>
          <w:szCs w:val="24"/>
        </w:rPr>
      </w:pPr>
    </w:p>
    <w:p w:rsidR="00ED3891" w:rsidRPr="006C074A" w:rsidRDefault="00ED3891" w:rsidP="00ED3891">
      <w:pPr>
        <w:jc w:val="both"/>
        <w:rPr>
          <w:rFonts w:ascii="Arial" w:hAnsi="Arial" w:cs="Arial"/>
          <w:color w:val="000000"/>
          <w:sz w:val="24"/>
          <w:szCs w:val="24"/>
        </w:rPr>
      </w:pPr>
      <w:r w:rsidRPr="006C074A">
        <w:rPr>
          <w:rFonts w:ascii="Arial" w:eastAsia="Calibri" w:hAnsi="Arial" w:cs="Arial"/>
          <w:sz w:val="24"/>
          <w:szCs w:val="24"/>
        </w:rPr>
        <w:lastRenderedPageBreak/>
        <w:t xml:space="preserve">En la evaluación fotocatalítica, La reacción de degradación fotocatalítica para el colorante azul ácido 9 (AA9). </w:t>
      </w:r>
      <w:r w:rsidRPr="006C074A">
        <w:rPr>
          <w:rFonts w:ascii="Arial" w:hAnsi="Arial" w:cs="Arial"/>
          <w:sz w:val="24"/>
          <w:szCs w:val="24"/>
        </w:rPr>
        <w:t xml:space="preserve">En la Figura </w:t>
      </w:r>
      <w:r w:rsidRPr="006C074A">
        <w:rPr>
          <w:rFonts w:ascii="Arial" w:hAnsi="Arial" w:cs="Arial"/>
          <w:color w:val="000000"/>
          <w:sz w:val="24"/>
          <w:szCs w:val="24"/>
        </w:rPr>
        <w:t>6, se muestran las curvas de fotodegradación del colorante Azul Ácido 9 (AA9) correspondientes a los catalizadores sintetizados de TiO</w:t>
      </w:r>
      <w:r w:rsidRPr="006C074A">
        <w:rPr>
          <w:rFonts w:ascii="Arial" w:hAnsi="Arial" w:cs="Arial"/>
          <w:color w:val="000000"/>
          <w:sz w:val="24"/>
          <w:szCs w:val="24"/>
          <w:vertAlign w:val="subscript"/>
        </w:rPr>
        <w:t>2</w:t>
      </w:r>
      <w:r w:rsidRPr="006C074A">
        <w:rPr>
          <w:rFonts w:ascii="Arial" w:hAnsi="Arial" w:cs="Arial"/>
          <w:color w:val="000000"/>
          <w:sz w:val="24"/>
          <w:szCs w:val="24"/>
        </w:rPr>
        <w:t xml:space="preserve"> puro calcinados a 400°C, 500°C, 600°C y 700°C. La Figura 7, los dopados con 0.05% de Fe.</w:t>
      </w:r>
    </w:p>
    <w:p w:rsidR="00ED3891" w:rsidRPr="006C074A" w:rsidRDefault="002E2C85" w:rsidP="00ED3891">
      <w:pPr>
        <w:spacing w:before="240"/>
        <w:rPr>
          <w:rFonts w:ascii="Arial" w:eastAsia="Times New Roman" w:hAnsi="Arial" w:cs="Arial"/>
          <w:sz w:val="24"/>
          <w:szCs w:val="24"/>
        </w:rPr>
      </w:pPr>
      <w:r w:rsidRPr="006C074A">
        <w:rPr>
          <w:rFonts w:ascii="Arial" w:hAnsi="Arial" w:cs="Arial"/>
          <w:sz w:val="24"/>
          <w:szCs w:val="24"/>
        </w:rPr>
        <w:object w:dxaOrig="6336" w:dyaOrig="4746">
          <v:shape id="_x0000_i1029" type="#_x0000_t75" style="width:208.8pt;height:151.2pt" o:ole="">
            <v:imagedata r:id="rId24" o:title=""/>
          </v:shape>
          <o:OLEObject Type="Embed" ProgID="Origin50.Graph" ShapeID="_x0000_i1029" DrawAspect="Content" ObjectID="_1491817386" r:id="rId25"/>
        </w:object>
      </w:r>
      <w:r w:rsidRPr="006C074A">
        <w:rPr>
          <w:rFonts w:ascii="Arial" w:hAnsi="Arial" w:cs="Arial"/>
          <w:sz w:val="24"/>
          <w:szCs w:val="24"/>
        </w:rPr>
        <w:object w:dxaOrig="6336" w:dyaOrig="4746">
          <v:shape id="_x0000_i1030" type="#_x0000_t75" style="width:208.8pt;height:2in" o:ole="">
            <v:imagedata r:id="rId26" o:title=""/>
          </v:shape>
          <o:OLEObject Type="Embed" ProgID="Origin50.Graph" ShapeID="_x0000_i1030" DrawAspect="Content" ObjectID="_1491817387" r:id="rId27"/>
        </w:object>
      </w:r>
    </w:p>
    <w:p w:rsidR="00ED3891" w:rsidRPr="006C074A" w:rsidRDefault="00ED3891" w:rsidP="00ED3891">
      <w:pPr>
        <w:spacing w:line="240" w:lineRule="auto"/>
        <w:ind w:left="4247" w:hanging="4247"/>
        <w:rPr>
          <w:rFonts w:ascii="Arial" w:hAnsi="Arial" w:cs="Arial"/>
          <w:sz w:val="24"/>
          <w:szCs w:val="24"/>
        </w:rPr>
      </w:pPr>
      <w:r w:rsidRPr="006C074A">
        <w:rPr>
          <w:rFonts w:ascii="Arial" w:hAnsi="Arial" w:cs="Arial"/>
          <w:b/>
          <w:sz w:val="24"/>
          <w:szCs w:val="24"/>
        </w:rPr>
        <w:t>Figura 6.</w:t>
      </w:r>
      <w:r w:rsidRPr="006C074A">
        <w:rPr>
          <w:rFonts w:ascii="Arial" w:hAnsi="Arial" w:cs="Arial"/>
          <w:sz w:val="24"/>
          <w:szCs w:val="24"/>
        </w:rPr>
        <w:t xml:space="preserve"> Fotodegradación de TiO</w:t>
      </w:r>
      <w:r w:rsidRPr="006C074A">
        <w:rPr>
          <w:rFonts w:ascii="Arial" w:hAnsi="Arial" w:cs="Arial"/>
          <w:sz w:val="24"/>
          <w:szCs w:val="24"/>
          <w:vertAlign w:val="subscript"/>
        </w:rPr>
        <w:t>2</w:t>
      </w:r>
      <w:r w:rsidRPr="006C074A">
        <w:rPr>
          <w:rFonts w:ascii="Arial" w:hAnsi="Arial" w:cs="Arial"/>
          <w:sz w:val="24"/>
          <w:szCs w:val="24"/>
          <w:vertAlign w:val="subscript"/>
        </w:rPr>
        <w:tab/>
      </w:r>
      <w:r w:rsidRPr="006C074A">
        <w:rPr>
          <w:rFonts w:ascii="Arial" w:hAnsi="Arial" w:cs="Arial"/>
          <w:b/>
          <w:sz w:val="24"/>
          <w:szCs w:val="24"/>
        </w:rPr>
        <w:t>Figura 7</w:t>
      </w:r>
      <w:r w:rsidRPr="006C074A">
        <w:rPr>
          <w:rFonts w:ascii="Arial" w:hAnsi="Arial" w:cs="Arial"/>
          <w:sz w:val="24"/>
          <w:szCs w:val="24"/>
        </w:rPr>
        <w:t>. Fotodegradación de 0.05% Fe-TiO</w:t>
      </w:r>
      <w:r w:rsidRPr="006C074A">
        <w:rPr>
          <w:rFonts w:ascii="Arial" w:hAnsi="Arial" w:cs="Arial"/>
          <w:sz w:val="24"/>
          <w:szCs w:val="24"/>
          <w:vertAlign w:val="subscript"/>
        </w:rPr>
        <w:t>2</w:t>
      </w:r>
      <w:r w:rsidRPr="006C074A">
        <w:rPr>
          <w:rFonts w:ascii="Arial" w:hAnsi="Arial" w:cs="Arial"/>
          <w:sz w:val="24"/>
          <w:szCs w:val="24"/>
        </w:rPr>
        <w:t>.</w:t>
      </w:r>
    </w:p>
    <w:p w:rsidR="00ED3891" w:rsidRPr="006C074A" w:rsidRDefault="00ED3891" w:rsidP="00ED3891">
      <w:pPr>
        <w:spacing w:after="0"/>
        <w:jc w:val="both"/>
        <w:rPr>
          <w:rFonts w:ascii="Arial" w:hAnsi="Arial" w:cs="Arial"/>
          <w:sz w:val="24"/>
          <w:szCs w:val="24"/>
        </w:rPr>
      </w:pPr>
      <w:r w:rsidRPr="006C074A">
        <w:rPr>
          <w:rFonts w:ascii="Arial" w:hAnsi="Arial" w:cs="Arial"/>
          <w:sz w:val="24"/>
          <w:szCs w:val="24"/>
        </w:rPr>
        <w:t>Al comparar la curva de degradación del TiO</w:t>
      </w:r>
      <w:r w:rsidRPr="006C074A">
        <w:rPr>
          <w:rFonts w:ascii="Arial" w:hAnsi="Arial" w:cs="Arial"/>
          <w:sz w:val="24"/>
          <w:szCs w:val="24"/>
          <w:vertAlign w:val="subscript"/>
        </w:rPr>
        <w:t>2</w:t>
      </w:r>
      <w:r w:rsidRPr="006C074A">
        <w:rPr>
          <w:rFonts w:ascii="Arial" w:hAnsi="Arial" w:cs="Arial"/>
          <w:sz w:val="24"/>
          <w:szCs w:val="24"/>
        </w:rPr>
        <w:t xml:space="preserve"> puro y la del catalizador al 0.05% Fe-TiO</w:t>
      </w:r>
      <w:r w:rsidRPr="006C074A">
        <w:rPr>
          <w:rFonts w:ascii="Arial" w:hAnsi="Arial" w:cs="Arial"/>
          <w:sz w:val="24"/>
          <w:szCs w:val="24"/>
          <w:vertAlign w:val="subscript"/>
        </w:rPr>
        <w:t>2</w:t>
      </w:r>
      <w:r w:rsidRPr="006C074A">
        <w:rPr>
          <w:rFonts w:ascii="Arial" w:hAnsi="Arial" w:cs="Arial"/>
          <w:sz w:val="24"/>
          <w:szCs w:val="24"/>
        </w:rPr>
        <w:t xml:space="preserve">, ambos calcinados a 400°C, se observa un aumento en la actividad fotocatalítica mediante el dopaje con hierro, situación que no ocurre con los catalizadores (puro y dopado) calcinados a 600°C y 700°C. </w:t>
      </w:r>
    </w:p>
    <w:p w:rsidR="002E2C85" w:rsidRDefault="002E2C85" w:rsidP="00ED3891">
      <w:pPr>
        <w:spacing w:after="0"/>
        <w:jc w:val="both"/>
        <w:rPr>
          <w:rFonts w:ascii="Arial" w:hAnsi="Arial" w:cs="Arial"/>
          <w:b/>
          <w:sz w:val="24"/>
          <w:szCs w:val="24"/>
        </w:rPr>
      </w:pPr>
    </w:p>
    <w:p w:rsidR="004E4E19" w:rsidRDefault="004E4E19" w:rsidP="00ED3891">
      <w:pPr>
        <w:spacing w:after="0"/>
        <w:jc w:val="both"/>
        <w:rPr>
          <w:rFonts w:ascii="Arial" w:hAnsi="Arial" w:cs="Arial"/>
          <w:b/>
          <w:sz w:val="24"/>
          <w:szCs w:val="24"/>
        </w:rPr>
      </w:pPr>
    </w:p>
    <w:p w:rsidR="004E4E19" w:rsidRDefault="004E4E19" w:rsidP="00ED3891">
      <w:pPr>
        <w:spacing w:after="0"/>
        <w:jc w:val="both"/>
        <w:rPr>
          <w:rFonts w:ascii="Arial" w:hAnsi="Arial" w:cs="Arial"/>
          <w:b/>
          <w:sz w:val="24"/>
          <w:szCs w:val="24"/>
        </w:rPr>
      </w:pPr>
    </w:p>
    <w:p w:rsidR="004E4E19" w:rsidRDefault="004E4E19" w:rsidP="00ED3891">
      <w:pPr>
        <w:spacing w:after="0"/>
        <w:jc w:val="both"/>
        <w:rPr>
          <w:rFonts w:ascii="Arial" w:hAnsi="Arial" w:cs="Arial"/>
          <w:b/>
          <w:sz w:val="24"/>
          <w:szCs w:val="24"/>
        </w:rPr>
      </w:pPr>
    </w:p>
    <w:p w:rsidR="00ED3891" w:rsidRPr="006C074A" w:rsidRDefault="00ED3891" w:rsidP="00ED3891">
      <w:pPr>
        <w:spacing w:after="0"/>
        <w:jc w:val="both"/>
        <w:rPr>
          <w:rFonts w:ascii="Arial" w:hAnsi="Arial" w:cs="Arial"/>
          <w:b/>
          <w:sz w:val="24"/>
          <w:szCs w:val="24"/>
        </w:rPr>
      </w:pPr>
      <w:r w:rsidRPr="006C074A">
        <w:rPr>
          <w:rFonts w:ascii="Arial" w:hAnsi="Arial" w:cs="Arial"/>
          <w:b/>
          <w:sz w:val="24"/>
          <w:szCs w:val="24"/>
        </w:rPr>
        <w:t>Conclusiones</w:t>
      </w:r>
    </w:p>
    <w:p w:rsidR="00ED3891" w:rsidRPr="006C074A" w:rsidRDefault="00ED3891" w:rsidP="00ED3891">
      <w:pPr>
        <w:spacing w:after="0"/>
        <w:jc w:val="both"/>
        <w:rPr>
          <w:rFonts w:ascii="Arial" w:hAnsi="Arial" w:cs="Arial"/>
          <w:sz w:val="24"/>
          <w:szCs w:val="24"/>
        </w:rPr>
      </w:pPr>
      <w:r w:rsidRPr="006C074A">
        <w:rPr>
          <w:rFonts w:ascii="Arial" w:hAnsi="Arial" w:cs="Arial"/>
          <w:sz w:val="24"/>
          <w:szCs w:val="24"/>
        </w:rPr>
        <w:t>1. Se logró sintetizar catalizadores de TiO</w:t>
      </w:r>
      <w:r w:rsidRPr="006C074A">
        <w:rPr>
          <w:rFonts w:ascii="Arial" w:hAnsi="Arial" w:cs="Arial"/>
          <w:sz w:val="24"/>
          <w:szCs w:val="24"/>
          <w:vertAlign w:val="subscript"/>
        </w:rPr>
        <w:t>2</w:t>
      </w:r>
      <w:r w:rsidRPr="006C074A">
        <w:rPr>
          <w:rFonts w:ascii="Arial" w:hAnsi="Arial" w:cs="Arial"/>
          <w:sz w:val="24"/>
          <w:szCs w:val="24"/>
        </w:rPr>
        <w:t xml:space="preserve"> dopado con metales a diferentes concentraciones </w:t>
      </w:r>
      <w:r w:rsidR="00CA7649" w:rsidRPr="006C074A">
        <w:rPr>
          <w:rFonts w:ascii="Arial" w:hAnsi="Arial" w:cs="Arial"/>
          <w:sz w:val="24"/>
          <w:szCs w:val="24"/>
        </w:rPr>
        <w:t>del metal en</w:t>
      </w:r>
      <w:r w:rsidRPr="006C074A">
        <w:rPr>
          <w:rFonts w:ascii="Arial" w:hAnsi="Arial" w:cs="Arial"/>
          <w:sz w:val="24"/>
          <w:szCs w:val="24"/>
        </w:rPr>
        <w:t xml:space="preserve"> % mol mediante el método sol-gel asistido por microondas.</w:t>
      </w:r>
    </w:p>
    <w:p w:rsidR="00ED3891" w:rsidRPr="006C074A" w:rsidRDefault="00ED3891" w:rsidP="00ED3891">
      <w:pPr>
        <w:spacing w:after="0"/>
        <w:jc w:val="both"/>
        <w:rPr>
          <w:rFonts w:ascii="Arial" w:hAnsi="Arial" w:cs="Arial"/>
          <w:color w:val="000000"/>
          <w:sz w:val="24"/>
          <w:szCs w:val="24"/>
        </w:rPr>
      </w:pPr>
      <w:r w:rsidRPr="006C074A">
        <w:rPr>
          <w:rFonts w:ascii="Arial" w:hAnsi="Arial" w:cs="Arial"/>
          <w:sz w:val="24"/>
          <w:szCs w:val="24"/>
        </w:rPr>
        <w:t>2. Se observó que el área superficial específica de los catalizadores respecto al aumento en la concentración de metal no presenta una tendencia regular a diferentes temperaturas de calcinación; para los de Fe-TiO</w:t>
      </w:r>
      <w:r w:rsidRPr="006C074A">
        <w:rPr>
          <w:rFonts w:ascii="Arial" w:hAnsi="Arial" w:cs="Arial"/>
          <w:sz w:val="24"/>
          <w:szCs w:val="24"/>
          <w:vertAlign w:val="subscript"/>
        </w:rPr>
        <w:t>2</w:t>
      </w:r>
      <w:r w:rsidRPr="006C074A">
        <w:rPr>
          <w:rFonts w:ascii="Arial" w:hAnsi="Arial" w:cs="Arial"/>
          <w:sz w:val="24"/>
          <w:szCs w:val="24"/>
        </w:rPr>
        <w:t xml:space="preserve"> disminuyó respecto al aumento de la temperatura de calcinación, obteniendo un área máxima de 218.621 m</w:t>
      </w:r>
      <w:r w:rsidRPr="006C074A">
        <w:rPr>
          <w:rFonts w:ascii="Arial" w:hAnsi="Arial" w:cs="Arial"/>
          <w:sz w:val="24"/>
          <w:szCs w:val="24"/>
          <w:vertAlign w:val="superscript"/>
        </w:rPr>
        <w:t>2</w:t>
      </w:r>
      <w:r w:rsidRPr="006C074A">
        <w:rPr>
          <w:rFonts w:ascii="Arial" w:hAnsi="Arial" w:cs="Arial"/>
          <w:sz w:val="24"/>
          <w:szCs w:val="24"/>
        </w:rPr>
        <w:t>/g para el catalizador dopado al 0.05% mol de Fe y calcinado a 400ºC y  un área superficial mínima de 11.321 m</w:t>
      </w:r>
      <w:r w:rsidRPr="006C074A">
        <w:rPr>
          <w:rFonts w:ascii="Arial" w:hAnsi="Arial" w:cs="Arial"/>
          <w:sz w:val="24"/>
          <w:szCs w:val="24"/>
          <w:vertAlign w:val="superscript"/>
        </w:rPr>
        <w:t>2</w:t>
      </w:r>
      <w:r w:rsidRPr="006C074A">
        <w:rPr>
          <w:rFonts w:ascii="Arial" w:hAnsi="Arial" w:cs="Arial"/>
          <w:sz w:val="24"/>
          <w:szCs w:val="24"/>
        </w:rPr>
        <w:t xml:space="preserve">/g para el catalizador dopado al 1.4245% mol de Fe calcinado a 700ºC.  Para los impurificados con Cu aumenta. Además, el tiempo de calcinación tiene una influencia importante en la definición del efecto </w:t>
      </w:r>
      <w:r w:rsidRPr="006C074A">
        <w:rPr>
          <w:rFonts w:ascii="Arial" w:hAnsi="Arial" w:cs="Arial"/>
          <w:color w:val="000000"/>
          <w:sz w:val="24"/>
          <w:szCs w:val="24"/>
        </w:rPr>
        <w:t>en el área superficial de los catalizadores.</w:t>
      </w:r>
    </w:p>
    <w:p w:rsidR="00ED3891" w:rsidRPr="006C074A" w:rsidRDefault="00CA7649" w:rsidP="00ED3891">
      <w:pPr>
        <w:spacing w:after="0"/>
        <w:jc w:val="both"/>
        <w:rPr>
          <w:rFonts w:ascii="Arial" w:hAnsi="Arial" w:cs="Arial"/>
          <w:color w:val="000000"/>
          <w:sz w:val="24"/>
          <w:szCs w:val="24"/>
        </w:rPr>
      </w:pPr>
      <w:r w:rsidRPr="006C074A">
        <w:rPr>
          <w:rFonts w:ascii="Arial" w:hAnsi="Arial" w:cs="Arial"/>
          <w:sz w:val="24"/>
          <w:szCs w:val="24"/>
        </w:rPr>
        <w:lastRenderedPageBreak/>
        <w:t>3</w:t>
      </w:r>
      <w:r w:rsidR="00ED3891" w:rsidRPr="006C074A">
        <w:rPr>
          <w:rFonts w:ascii="Arial" w:hAnsi="Arial" w:cs="Arial"/>
          <w:sz w:val="24"/>
          <w:szCs w:val="24"/>
        </w:rPr>
        <w:t>. Se observó que las muestras de Fe-TiO</w:t>
      </w:r>
      <w:r w:rsidR="00ED3891" w:rsidRPr="006C074A">
        <w:rPr>
          <w:rFonts w:ascii="Arial" w:hAnsi="Arial" w:cs="Arial"/>
          <w:sz w:val="24"/>
          <w:szCs w:val="24"/>
          <w:vertAlign w:val="subscript"/>
        </w:rPr>
        <w:t>2</w:t>
      </w:r>
      <w:r w:rsidR="00ED3891" w:rsidRPr="006C074A">
        <w:rPr>
          <w:rFonts w:ascii="Arial" w:hAnsi="Arial" w:cs="Arial"/>
          <w:sz w:val="24"/>
          <w:szCs w:val="24"/>
        </w:rPr>
        <w:t xml:space="preserve"> calcinadas a 400ºC, 500ºC y 600ºC están presentes en la fase anatasa en tanto que la muestra con 1.4245% calcinada a 700ºC contiene un 45.08% en masa de rutilo y 54.92% de anatasa. Asimismo, </w:t>
      </w:r>
      <w:r w:rsidRPr="006C074A">
        <w:rPr>
          <w:rFonts w:ascii="Arial" w:hAnsi="Arial" w:cs="Arial"/>
          <w:sz w:val="24"/>
          <w:szCs w:val="24"/>
        </w:rPr>
        <w:t xml:space="preserve">los impurificados con sales de Cu y Ni solo se presenta la fase anatasa independientemente de la temperatura de calcinación. </w:t>
      </w:r>
    </w:p>
    <w:p w:rsidR="00ED3891" w:rsidRPr="006C074A" w:rsidRDefault="00CA7649" w:rsidP="00ED3891">
      <w:pPr>
        <w:spacing w:after="0"/>
        <w:jc w:val="both"/>
        <w:rPr>
          <w:rFonts w:ascii="Arial" w:hAnsi="Arial" w:cs="Arial"/>
          <w:color w:val="000000"/>
          <w:sz w:val="24"/>
          <w:szCs w:val="24"/>
        </w:rPr>
      </w:pPr>
      <w:r w:rsidRPr="006C074A">
        <w:rPr>
          <w:rFonts w:ascii="Arial" w:hAnsi="Arial" w:cs="Arial"/>
          <w:color w:val="000000"/>
          <w:sz w:val="24"/>
          <w:szCs w:val="24"/>
        </w:rPr>
        <w:t>4</w:t>
      </w:r>
      <w:r w:rsidR="00ED3891" w:rsidRPr="006C074A">
        <w:rPr>
          <w:rFonts w:ascii="Arial" w:hAnsi="Arial" w:cs="Arial"/>
          <w:color w:val="000000"/>
          <w:sz w:val="24"/>
          <w:szCs w:val="24"/>
        </w:rPr>
        <w:t xml:space="preserve">. El ancho de banda de absorción óptica (band gap) de los catalizadores se modifica con la impurificación del metal, por lo que la absorción de luz de </w:t>
      </w:r>
      <w:r w:rsidR="00BD6026">
        <w:rPr>
          <w:rFonts w:ascii="Arial" w:hAnsi="Arial" w:cs="Arial"/>
          <w:color w:val="000000"/>
          <w:sz w:val="24"/>
          <w:szCs w:val="24"/>
        </w:rPr>
        <w:t>l</w:t>
      </w:r>
      <w:r w:rsidR="00ED3891" w:rsidRPr="006C074A">
        <w:rPr>
          <w:rFonts w:ascii="Arial" w:hAnsi="Arial" w:cs="Arial"/>
          <w:color w:val="000000"/>
          <w:sz w:val="24"/>
          <w:szCs w:val="24"/>
        </w:rPr>
        <w:t>os catalizadores se desplazó moderadamente de la región del espectro ultravioleta a la región del espectro visible</w:t>
      </w:r>
      <w:r w:rsidR="00BD6026">
        <w:rPr>
          <w:rFonts w:ascii="Arial" w:hAnsi="Arial" w:cs="Arial"/>
          <w:color w:val="000000"/>
          <w:sz w:val="24"/>
          <w:szCs w:val="24"/>
        </w:rPr>
        <w:t>.</w:t>
      </w:r>
      <w:r w:rsidR="00ED3891" w:rsidRPr="006C074A">
        <w:rPr>
          <w:rFonts w:ascii="Arial" w:hAnsi="Arial" w:cs="Arial"/>
          <w:color w:val="000000"/>
          <w:sz w:val="24"/>
          <w:szCs w:val="24"/>
        </w:rPr>
        <w:t xml:space="preserve">  </w:t>
      </w:r>
    </w:p>
    <w:p w:rsidR="00CA7649" w:rsidRPr="006C074A" w:rsidRDefault="00CA7649" w:rsidP="00ED3891">
      <w:pPr>
        <w:spacing w:after="0"/>
        <w:jc w:val="both"/>
        <w:rPr>
          <w:rFonts w:ascii="Arial" w:hAnsi="Arial" w:cs="Arial"/>
          <w:color w:val="000000"/>
          <w:sz w:val="24"/>
          <w:szCs w:val="24"/>
        </w:rPr>
      </w:pPr>
      <w:r w:rsidRPr="006C074A">
        <w:rPr>
          <w:rFonts w:ascii="Arial" w:hAnsi="Arial" w:cs="Arial"/>
          <w:color w:val="000000"/>
          <w:sz w:val="24"/>
          <w:szCs w:val="24"/>
        </w:rPr>
        <w:t>5</w:t>
      </w:r>
      <w:r w:rsidR="00ED3891" w:rsidRPr="006C074A">
        <w:rPr>
          <w:rFonts w:ascii="Arial" w:hAnsi="Arial" w:cs="Arial"/>
          <w:color w:val="000000"/>
          <w:sz w:val="24"/>
          <w:szCs w:val="24"/>
        </w:rPr>
        <w:t xml:space="preserve">. La fotodegradación del colorante azul ácido 9 a una concentración de 20 mg/L (o 20 ppm). </w:t>
      </w:r>
      <w:r w:rsidRPr="006C074A">
        <w:rPr>
          <w:rFonts w:ascii="Arial" w:hAnsi="Arial" w:cs="Arial"/>
          <w:color w:val="000000"/>
          <w:sz w:val="24"/>
          <w:szCs w:val="24"/>
        </w:rPr>
        <w:t>Para el</w:t>
      </w:r>
      <w:r w:rsidR="00ED3891" w:rsidRPr="006C074A">
        <w:rPr>
          <w:rFonts w:ascii="Arial" w:hAnsi="Arial" w:cs="Arial"/>
          <w:color w:val="000000"/>
          <w:sz w:val="24"/>
          <w:szCs w:val="24"/>
        </w:rPr>
        <w:t xml:space="preserve"> catalizador de TiO</w:t>
      </w:r>
      <w:r w:rsidR="00ED3891" w:rsidRPr="006C074A">
        <w:rPr>
          <w:rFonts w:ascii="Arial" w:hAnsi="Arial" w:cs="Arial"/>
          <w:color w:val="000000"/>
          <w:sz w:val="24"/>
          <w:szCs w:val="24"/>
          <w:vertAlign w:val="subscript"/>
        </w:rPr>
        <w:t>2</w:t>
      </w:r>
      <w:r w:rsidR="00ED3891" w:rsidRPr="006C074A">
        <w:rPr>
          <w:rFonts w:ascii="Arial" w:hAnsi="Arial" w:cs="Arial"/>
          <w:color w:val="000000"/>
          <w:sz w:val="24"/>
          <w:szCs w:val="24"/>
        </w:rPr>
        <w:t xml:space="preserve"> puro calcinado a 600°C fue el material sintetizado que mayor actividad fotocatalítica presentó al degradar el 100% del colorante azul ácido 9 en un tiempo de 30 minutos de reacción bajo luz ultra</w:t>
      </w:r>
      <w:r w:rsidR="00BD6026">
        <w:rPr>
          <w:rFonts w:ascii="Arial" w:hAnsi="Arial" w:cs="Arial"/>
          <w:color w:val="000000"/>
          <w:sz w:val="24"/>
          <w:szCs w:val="24"/>
        </w:rPr>
        <w:t xml:space="preserve">violeta. </w:t>
      </w:r>
      <w:r w:rsidR="00ED3891" w:rsidRPr="006C074A">
        <w:rPr>
          <w:rFonts w:ascii="Arial" w:hAnsi="Arial" w:cs="Arial"/>
          <w:color w:val="000000"/>
          <w:sz w:val="24"/>
          <w:szCs w:val="24"/>
        </w:rPr>
        <w:t xml:space="preserve">Además, </w:t>
      </w:r>
      <w:r w:rsidRPr="006C074A">
        <w:rPr>
          <w:rFonts w:ascii="Arial" w:hAnsi="Arial" w:cs="Arial"/>
          <w:color w:val="000000"/>
          <w:sz w:val="24"/>
          <w:szCs w:val="24"/>
        </w:rPr>
        <w:t xml:space="preserve">para el caso de la impurificación con Ni, sin tratamiento térmico se tiene mejor efecto fotocatalitico. </w:t>
      </w:r>
    </w:p>
    <w:p w:rsidR="00ED3891" w:rsidRPr="006C074A" w:rsidRDefault="00ED3891" w:rsidP="00ED3891">
      <w:pPr>
        <w:spacing w:after="0"/>
        <w:jc w:val="both"/>
        <w:rPr>
          <w:rFonts w:ascii="Arial" w:hAnsi="Arial" w:cs="Arial"/>
          <w:sz w:val="24"/>
          <w:szCs w:val="24"/>
        </w:rPr>
      </w:pPr>
    </w:p>
    <w:p w:rsidR="00ED3891" w:rsidRPr="006C074A" w:rsidRDefault="00ED3891" w:rsidP="006C074A">
      <w:pPr>
        <w:spacing w:after="80"/>
        <w:rPr>
          <w:rFonts w:ascii="Arial" w:eastAsia="Calibri" w:hAnsi="Arial" w:cs="Arial"/>
          <w:sz w:val="24"/>
          <w:szCs w:val="24"/>
        </w:rPr>
      </w:pPr>
      <w:r w:rsidRPr="006C074A">
        <w:rPr>
          <w:rFonts w:ascii="Arial" w:eastAsia="Calibri" w:hAnsi="Arial" w:cs="Arial"/>
          <w:b/>
          <w:sz w:val="24"/>
          <w:szCs w:val="24"/>
        </w:rPr>
        <w:t>B</w:t>
      </w:r>
      <w:r w:rsidR="006C074A">
        <w:rPr>
          <w:rFonts w:ascii="Arial" w:eastAsia="Calibri" w:hAnsi="Arial" w:cs="Arial"/>
          <w:b/>
          <w:sz w:val="24"/>
          <w:szCs w:val="24"/>
        </w:rPr>
        <w:t>ibliografia</w:t>
      </w:r>
    </w:p>
    <w:p w:rsidR="00ED3891" w:rsidRPr="006C074A" w:rsidRDefault="00ED3891" w:rsidP="00ED3891">
      <w:pPr>
        <w:numPr>
          <w:ilvl w:val="0"/>
          <w:numId w:val="2"/>
        </w:numPr>
        <w:spacing w:after="80"/>
        <w:contextualSpacing/>
        <w:jc w:val="both"/>
        <w:rPr>
          <w:rFonts w:ascii="Arial" w:eastAsia="Calibri" w:hAnsi="Arial" w:cs="Arial"/>
          <w:sz w:val="24"/>
          <w:szCs w:val="24"/>
        </w:rPr>
      </w:pPr>
      <w:r w:rsidRPr="006C074A">
        <w:rPr>
          <w:rFonts w:ascii="Arial" w:eastAsia="Calibri" w:hAnsi="Arial" w:cs="Arial"/>
          <w:sz w:val="24"/>
          <w:szCs w:val="24"/>
        </w:rPr>
        <w:t>Evaluación de la capacidad de filtración del material “Fieltro” para partículas de 0.7nm de diámetro en un filtro prensa, I. Q. José Domingo González Ramírez, 2012, U. M. S. N. H.</w:t>
      </w:r>
    </w:p>
    <w:p w:rsidR="00ED3891" w:rsidRPr="006C074A" w:rsidRDefault="00ED3891" w:rsidP="00ED3891">
      <w:pPr>
        <w:numPr>
          <w:ilvl w:val="0"/>
          <w:numId w:val="2"/>
        </w:numPr>
        <w:spacing w:after="80"/>
        <w:contextualSpacing/>
        <w:jc w:val="both"/>
        <w:rPr>
          <w:rFonts w:ascii="Arial" w:eastAsia="Calibri" w:hAnsi="Arial" w:cs="Arial"/>
          <w:sz w:val="24"/>
          <w:szCs w:val="24"/>
        </w:rPr>
      </w:pPr>
      <w:r w:rsidRPr="006C074A">
        <w:rPr>
          <w:rFonts w:ascii="Arial" w:eastAsia="Calibri" w:hAnsi="Arial" w:cs="Arial"/>
          <w:sz w:val="24"/>
          <w:szCs w:val="24"/>
        </w:rPr>
        <w:t>Desarrollo de un método de eliminación de Escherichia coli en agua usando un proceso avanzado de oxidación, B. Jordana Hashil Castillo Ledezma, 2009, U. D. L. A. P.</w:t>
      </w:r>
    </w:p>
    <w:p w:rsidR="00ED3891" w:rsidRPr="006C074A" w:rsidRDefault="00ED3891" w:rsidP="00ED3891">
      <w:pPr>
        <w:numPr>
          <w:ilvl w:val="0"/>
          <w:numId w:val="2"/>
        </w:numPr>
        <w:spacing w:after="80"/>
        <w:contextualSpacing/>
        <w:jc w:val="both"/>
        <w:rPr>
          <w:rFonts w:ascii="Arial" w:eastAsia="Calibri" w:hAnsi="Arial" w:cs="Arial"/>
          <w:sz w:val="24"/>
          <w:szCs w:val="24"/>
        </w:rPr>
      </w:pPr>
      <w:r w:rsidRPr="006C074A">
        <w:rPr>
          <w:rFonts w:ascii="Arial" w:eastAsia="Calibri" w:hAnsi="Arial" w:cs="Arial"/>
          <w:sz w:val="24"/>
          <w:szCs w:val="24"/>
        </w:rPr>
        <w:t>Evaluación del nivel de envenenamiento del TiO</w:t>
      </w:r>
      <w:r w:rsidRPr="006C074A">
        <w:rPr>
          <w:rFonts w:ascii="Arial" w:eastAsia="Calibri" w:hAnsi="Arial" w:cs="Arial"/>
          <w:sz w:val="24"/>
          <w:szCs w:val="24"/>
          <w:vertAlign w:val="subscript"/>
        </w:rPr>
        <w:t>2</w:t>
      </w:r>
      <w:r w:rsidRPr="006C074A">
        <w:rPr>
          <w:rFonts w:ascii="Arial" w:eastAsia="Calibri" w:hAnsi="Arial" w:cs="Arial"/>
          <w:sz w:val="24"/>
          <w:szCs w:val="24"/>
        </w:rPr>
        <w:t xml:space="preserve"> por compuestos intermedios formados durante la degradación fotocatalítica, M. C. Rafael Hurtado Solorzano, 2012, U. M. S. N. H.</w:t>
      </w:r>
    </w:p>
    <w:p w:rsidR="00ED3891" w:rsidRPr="006C074A" w:rsidRDefault="00ED3891" w:rsidP="00ED3891">
      <w:pPr>
        <w:numPr>
          <w:ilvl w:val="0"/>
          <w:numId w:val="2"/>
        </w:numPr>
        <w:spacing w:after="80"/>
        <w:contextualSpacing/>
        <w:jc w:val="both"/>
        <w:rPr>
          <w:rFonts w:ascii="Arial" w:eastAsia="Calibri" w:hAnsi="Arial" w:cs="Arial"/>
          <w:sz w:val="24"/>
          <w:szCs w:val="24"/>
        </w:rPr>
      </w:pPr>
      <w:r w:rsidRPr="006C074A">
        <w:rPr>
          <w:rFonts w:ascii="Arial" w:eastAsia="Calibri" w:hAnsi="Arial" w:cs="Arial"/>
          <w:sz w:val="24"/>
          <w:szCs w:val="24"/>
        </w:rPr>
        <w:t>Tratamiento fotocatalítico de aguas residuales utilizando TiO</w:t>
      </w:r>
      <w:r w:rsidRPr="006C074A">
        <w:rPr>
          <w:rFonts w:ascii="Arial" w:eastAsia="Calibri" w:hAnsi="Arial" w:cs="Arial"/>
          <w:sz w:val="24"/>
          <w:szCs w:val="24"/>
          <w:vertAlign w:val="subscript"/>
        </w:rPr>
        <w:t>2</w:t>
      </w:r>
      <w:r w:rsidRPr="006C074A">
        <w:rPr>
          <w:rFonts w:ascii="Arial" w:eastAsia="Calibri" w:hAnsi="Arial" w:cs="Arial"/>
          <w:sz w:val="24"/>
          <w:szCs w:val="24"/>
        </w:rPr>
        <w:t xml:space="preserve"> como catalizador, M. C. Israel Hernández Romero, 2003, U. V.</w:t>
      </w:r>
    </w:p>
    <w:p w:rsidR="00ED3891" w:rsidRPr="006C074A" w:rsidRDefault="00ED3891" w:rsidP="00ED3891">
      <w:pPr>
        <w:numPr>
          <w:ilvl w:val="0"/>
          <w:numId w:val="2"/>
        </w:numPr>
        <w:spacing w:after="80"/>
        <w:contextualSpacing/>
        <w:jc w:val="both"/>
        <w:rPr>
          <w:rFonts w:ascii="Arial" w:eastAsia="Times New Roman" w:hAnsi="Arial" w:cs="Arial"/>
          <w:sz w:val="24"/>
          <w:szCs w:val="24"/>
          <w:lang w:val="en-US"/>
        </w:rPr>
      </w:pPr>
      <w:r w:rsidRPr="006C074A">
        <w:rPr>
          <w:rFonts w:ascii="Arial" w:eastAsia="Times New Roman" w:hAnsi="Arial" w:cs="Arial"/>
          <w:sz w:val="24"/>
          <w:szCs w:val="24"/>
          <w:lang w:val="en-US"/>
        </w:rPr>
        <w:t>Recent developments in photocatlytic water treatment technology: a review, Meng Nan Chong, Bo Jin, Christopher W.K. Chow, Chris Saint, Water research, 2010, 44, 2997-3027.</w:t>
      </w:r>
    </w:p>
    <w:p w:rsidR="00ED3891" w:rsidRPr="006C074A" w:rsidRDefault="00ED3891" w:rsidP="00ED3891">
      <w:pPr>
        <w:numPr>
          <w:ilvl w:val="0"/>
          <w:numId w:val="2"/>
        </w:numPr>
        <w:spacing w:after="80"/>
        <w:contextualSpacing/>
        <w:jc w:val="both"/>
        <w:rPr>
          <w:rFonts w:ascii="Arial" w:eastAsia="Times New Roman" w:hAnsi="Arial" w:cs="Arial"/>
          <w:sz w:val="24"/>
          <w:szCs w:val="24"/>
          <w:lang w:val="en-US"/>
        </w:rPr>
      </w:pPr>
      <w:r w:rsidRPr="006C074A">
        <w:rPr>
          <w:rFonts w:ascii="Arial" w:eastAsia="Times New Roman" w:hAnsi="Arial" w:cs="Arial"/>
          <w:sz w:val="24"/>
          <w:szCs w:val="24"/>
          <w:lang w:val="en-US"/>
        </w:rPr>
        <w:t>Radiation absorption and optimization of solar photocatalytic reactors for environmental applications, Jose Colina-Márquez, Fiderman Machuca-Martínez, Gianluca Li Puma; Environ. sci. technol., 2010, 44, 5112-5120.</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t>The interaction between adsorbed OH and 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on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surfaces, Li-Min Liu, Paul Crawford, P. Hu, Progress in surface science, 2009, 84, 155-176.</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lastRenderedPageBreak/>
        <w:t xml:space="preserve"> Adsorption kinetics of methyl violet onto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nanoparticles with different phases, Sh. Jafari, S. Azizian, B. Jaleh, Colloids and sufaces A: physicochem. eng. aspects, 2011, 384, 618-623.</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t>Antibacterial activity of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and Fe</w:t>
      </w:r>
      <w:r w:rsidRPr="006C074A">
        <w:rPr>
          <w:rFonts w:ascii="Arial" w:eastAsia="Calibri" w:hAnsi="Arial" w:cs="Arial"/>
          <w:sz w:val="24"/>
          <w:szCs w:val="24"/>
          <w:vertAlign w:val="superscript"/>
          <w:lang w:val="en-US"/>
        </w:rPr>
        <w:t>3+</w:t>
      </w:r>
      <w:r w:rsidRPr="006C074A">
        <w:rPr>
          <w:rFonts w:ascii="Arial" w:eastAsia="Calibri" w:hAnsi="Arial" w:cs="Arial"/>
          <w:sz w:val="24"/>
          <w:szCs w:val="24"/>
          <w:lang w:val="en-US"/>
        </w:rPr>
        <w:t xml:space="preserve"> doped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nanoparticles synthesized at low temperature, Saowaluk Boonyod, Weerawan Sutthisripok, Lek Sikong, Advanced materials research. 2011, 214, 197-201.</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t>Microwave-assisted hydrothermal synthesis of mesoporous anatase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via sol-gel process for dye-sensitized solar cells, Chun-Hsien Huang, Yen-Tung Yang, Ruey-An Doong, Microporous and mesoporous materials, 2011, 142, 473-480.</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t>La</w:t>
      </w:r>
      <w:r w:rsidRPr="006C074A">
        <w:rPr>
          <w:rFonts w:ascii="Arial" w:eastAsia="Calibri" w:hAnsi="Arial" w:cs="Arial"/>
          <w:sz w:val="24"/>
          <w:szCs w:val="24"/>
          <w:vertAlign w:val="superscript"/>
          <w:lang w:val="en-US"/>
        </w:rPr>
        <w:t>3+</w:t>
      </w:r>
      <w:r w:rsidRPr="006C074A">
        <w:rPr>
          <w:rFonts w:ascii="Arial" w:eastAsia="Calibri" w:hAnsi="Arial" w:cs="Arial"/>
          <w:sz w:val="24"/>
          <w:szCs w:val="24"/>
          <w:lang w:val="en-US"/>
        </w:rPr>
        <w:t xml:space="preserve"> and Zr</w:t>
      </w:r>
      <w:r w:rsidRPr="006C074A">
        <w:rPr>
          <w:rFonts w:ascii="Arial" w:eastAsia="Calibri" w:hAnsi="Arial" w:cs="Arial"/>
          <w:sz w:val="24"/>
          <w:szCs w:val="24"/>
          <w:vertAlign w:val="superscript"/>
          <w:lang w:val="en-US"/>
        </w:rPr>
        <w:t>4+</w:t>
      </w:r>
      <w:r w:rsidRPr="006C074A">
        <w:rPr>
          <w:rFonts w:ascii="Arial" w:eastAsia="Calibri" w:hAnsi="Arial" w:cs="Arial"/>
          <w:sz w:val="24"/>
          <w:szCs w:val="24"/>
          <w:lang w:val="en-US"/>
        </w:rPr>
        <w:t xml:space="preserve"> co-doped anatase nano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by sol-microwave method, Abdollah Fallah Shojaie, Mohammad Hassan Loghmani, Chemical engineering journal, 2010, 157, 263-269.</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t xml:space="preserve"> Metolachlor photocatalytic degradation using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photocatalysts, V. A. Sakkas, I. M. Arabatzis, I. K. Konstantinou, A. D. Dimou, T. A. Albanis, P. Falaras, Applied catalysis B: environmental, 2004, 49, 195-205.</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t xml:space="preserve"> Doped-TiO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a review, Adriana Zaleska, Recent patents on engineering, 2008, 2, 157-164.</w:t>
      </w:r>
    </w:p>
    <w:p w:rsidR="00ED3891" w:rsidRPr="006C074A" w:rsidRDefault="00ED3891" w:rsidP="00ED3891">
      <w:pPr>
        <w:numPr>
          <w:ilvl w:val="0"/>
          <w:numId w:val="2"/>
        </w:numPr>
        <w:spacing w:after="80"/>
        <w:contextualSpacing/>
        <w:jc w:val="both"/>
        <w:rPr>
          <w:rFonts w:ascii="Arial" w:eastAsia="Calibri" w:hAnsi="Arial" w:cs="Arial"/>
          <w:sz w:val="24"/>
          <w:szCs w:val="24"/>
          <w:lang w:val="en-US"/>
        </w:rPr>
      </w:pPr>
      <w:r w:rsidRPr="006C074A">
        <w:rPr>
          <w:rFonts w:ascii="Arial" w:eastAsia="Calibri" w:hAnsi="Arial" w:cs="Arial"/>
          <w:sz w:val="24"/>
          <w:szCs w:val="24"/>
          <w:lang w:val="en-US"/>
        </w:rPr>
        <w:t xml:space="preserve"> Review on modified TiO</w:t>
      </w:r>
      <w:r w:rsidRPr="006C074A">
        <w:rPr>
          <w:rFonts w:ascii="Arial" w:eastAsia="Calibri" w:hAnsi="Arial" w:cs="Arial"/>
          <w:sz w:val="24"/>
          <w:szCs w:val="24"/>
          <w:vertAlign w:val="subscript"/>
          <w:lang w:val="en-US"/>
        </w:rPr>
        <w:t>2</w:t>
      </w:r>
      <w:r w:rsidRPr="006C074A">
        <w:rPr>
          <w:rFonts w:ascii="Arial" w:eastAsia="Calibri" w:hAnsi="Arial" w:cs="Arial"/>
          <w:sz w:val="24"/>
          <w:szCs w:val="24"/>
          <w:lang w:val="en-US"/>
        </w:rPr>
        <w:t xml:space="preserve"> photocatalysis under UV/visible light: selected results and related mechanisms on interfacial charge carrier transfer dynamics, S. Girish Kumar, L. Gomathi Devi, The journal of physical chemistry A, 2011, 115, 13211-13241.</w:t>
      </w:r>
    </w:p>
    <w:p w:rsidR="003073F7" w:rsidRDefault="00ED3891" w:rsidP="00ED3891">
      <w:pPr>
        <w:contextualSpacing/>
        <w:jc w:val="both"/>
        <w:rPr>
          <w:rFonts w:ascii="Arial" w:eastAsia="Calibri" w:hAnsi="Arial" w:cs="Arial"/>
          <w:sz w:val="24"/>
          <w:szCs w:val="24"/>
        </w:rPr>
      </w:pPr>
      <w:r w:rsidRPr="003073F7">
        <w:rPr>
          <w:rFonts w:ascii="Arial" w:eastAsia="Calibri" w:hAnsi="Arial" w:cs="Arial"/>
          <w:sz w:val="24"/>
          <w:szCs w:val="24"/>
        </w:rPr>
        <w:t xml:space="preserve">   </w:t>
      </w:r>
      <w:r w:rsidR="003073F7">
        <w:rPr>
          <w:rFonts w:ascii="Arial" w:eastAsia="Calibri" w:hAnsi="Arial" w:cs="Arial"/>
          <w:sz w:val="24"/>
          <w:szCs w:val="24"/>
        </w:rPr>
        <w:t xml:space="preserve">[15] </w:t>
      </w:r>
      <w:r w:rsidRPr="006C074A">
        <w:rPr>
          <w:rFonts w:ascii="Arial" w:eastAsia="Calibri" w:hAnsi="Arial" w:cs="Arial"/>
          <w:sz w:val="24"/>
          <w:szCs w:val="24"/>
        </w:rPr>
        <w:t>Eliminación de contaminantes</w:t>
      </w:r>
      <w:r w:rsidR="003073F7">
        <w:rPr>
          <w:rFonts w:ascii="Arial" w:eastAsia="Calibri" w:hAnsi="Arial" w:cs="Arial"/>
          <w:sz w:val="24"/>
          <w:szCs w:val="24"/>
        </w:rPr>
        <w:t xml:space="preserve"> por fotocatálisis heterogénea,</w:t>
      </w:r>
      <w:r w:rsidRPr="006C074A">
        <w:rPr>
          <w:rFonts w:ascii="Arial" w:eastAsia="Calibri" w:hAnsi="Arial" w:cs="Arial"/>
          <w:sz w:val="24"/>
          <w:szCs w:val="24"/>
        </w:rPr>
        <w:t xml:space="preserve">Texto </w:t>
      </w:r>
    </w:p>
    <w:p w:rsidR="00ED3891" w:rsidRPr="006C074A" w:rsidRDefault="003073F7" w:rsidP="00ED3891">
      <w:pPr>
        <w:contextualSpacing/>
        <w:jc w:val="both"/>
        <w:rPr>
          <w:rFonts w:ascii="Arial" w:eastAsia="Calibri" w:hAnsi="Arial" w:cs="Arial"/>
          <w:sz w:val="24"/>
          <w:szCs w:val="24"/>
        </w:rPr>
      </w:pPr>
      <w:r>
        <w:rPr>
          <w:rFonts w:ascii="Arial" w:eastAsia="Calibri" w:hAnsi="Arial" w:cs="Arial"/>
          <w:sz w:val="24"/>
          <w:szCs w:val="24"/>
        </w:rPr>
        <w:t xml:space="preserve">          </w:t>
      </w:r>
      <w:r w:rsidR="00ED3891" w:rsidRPr="006C074A">
        <w:rPr>
          <w:rFonts w:ascii="Arial" w:eastAsia="Calibri" w:hAnsi="Arial" w:cs="Arial"/>
          <w:sz w:val="24"/>
          <w:szCs w:val="24"/>
        </w:rPr>
        <w:t>colectivo de  red CYTED VIII-G, Gráfica 12 y 50, 2001.</w:t>
      </w:r>
    </w:p>
    <w:p w:rsidR="00ED3891" w:rsidRPr="006C074A" w:rsidRDefault="00ED3891" w:rsidP="00ED3891">
      <w:pPr>
        <w:spacing w:after="0"/>
        <w:jc w:val="both"/>
        <w:rPr>
          <w:rFonts w:ascii="Arial" w:hAnsi="Arial" w:cs="Arial"/>
          <w:sz w:val="24"/>
          <w:szCs w:val="24"/>
          <w:lang w:val="en-US"/>
        </w:rPr>
      </w:pPr>
      <w:r w:rsidRPr="003073F7">
        <w:rPr>
          <w:rFonts w:ascii="Arial" w:hAnsi="Arial" w:cs="Arial"/>
          <w:sz w:val="24"/>
          <w:szCs w:val="24"/>
        </w:rPr>
        <w:t xml:space="preserve">   </w:t>
      </w:r>
      <w:r w:rsidRPr="006C074A">
        <w:rPr>
          <w:rFonts w:ascii="Arial" w:hAnsi="Arial" w:cs="Arial"/>
          <w:sz w:val="24"/>
          <w:szCs w:val="24"/>
          <w:lang w:val="en-US"/>
        </w:rPr>
        <w:t>[</w:t>
      </w:r>
      <w:r w:rsidR="005F64C9" w:rsidRPr="006C074A">
        <w:rPr>
          <w:rFonts w:ascii="Arial" w:hAnsi="Arial" w:cs="Arial"/>
          <w:sz w:val="24"/>
          <w:szCs w:val="24"/>
          <w:lang w:val="en-US"/>
        </w:rPr>
        <w:t>16</w:t>
      </w:r>
      <w:r w:rsidRPr="006C074A">
        <w:rPr>
          <w:rFonts w:ascii="Arial" w:hAnsi="Arial" w:cs="Arial"/>
          <w:sz w:val="24"/>
          <w:szCs w:val="24"/>
          <w:lang w:val="en-US"/>
        </w:rPr>
        <w:t>] K. Naeem, F. Ouyang, Physica B 405 (2010) 221-226.</w:t>
      </w:r>
    </w:p>
    <w:p w:rsidR="003073F7" w:rsidRDefault="00ED3891" w:rsidP="00ED3891">
      <w:pPr>
        <w:spacing w:after="0"/>
        <w:jc w:val="both"/>
        <w:rPr>
          <w:rFonts w:ascii="Arial" w:hAnsi="Arial" w:cs="Arial"/>
          <w:sz w:val="24"/>
          <w:szCs w:val="24"/>
          <w:lang w:val="en-US"/>
        </w:rPr>
      </w:pPr>
      <w:r w:rsidRPr="006C074A">
        <w:rPr>
          <w:rFonts w:ascii="Arial" w:hAnsi="Arial" w:cs="Arial"/>
          <w:sz w:val="24"/>
          <w:szCs w:val="24"/>
          <w:lang w:val="en-US"/>
        </w:rPr>
        <w:t xml:space="preserve">   [</w:t>
      </w:r>
      <w:r w:rsidR="005F64C9" w:rsidRPr="006C074A">
        <w:rPr>
          <w:rFonts w:ascii="Arial" w:hAnsi="Arial" w:cs="Arial"/>
          <w:sz w:val="24"/>
          <w:szCs w:val="24"/>
          <w:lang w:val="en-US"/>
        </w:rPr>
        <w:t>17</w:t>
      </w:r>
      <w:r w:rsidRPr="006C074A">
        <w:rPr>
          <w:rFonts w:ascii="Arial" w:hAnsi="Arial" w:cs="Arial"/>
          <w:sz w:val="24"/>
          <w:szCs w:val="24"/>
          <w:lang w:val="en-US"/>
        </w:rPr>
        <w:t>] R. Asahi, T. Morikawa, T. Ohwaki, K. Aoki, Y. Taga, Science 293 (2001)</w:t>
      </w:r>
    </w:p>
    <w:p w:rsidR="00ED3891" w:rsidRPr="006C074A" w:rsidRDefault="003073F7" w:rsidP="00ED3891">
      <w:pPr>
        <w:spacing w:after="0"/>
        <w:jc w:val="both"/>
        <w:rPr>
          <w:rFonts w:ascii="Arial" w:hAnsi="Arial" w:cs="Arial"/>
          <w:sz w:val="24"/>
          <w:szCs w:val="24"/>
          <w:lang w:val="en-US"/>
        </w:rPr>
      </w:pPr>
      <w:r>
        <w:rPr>
          <w:rFonts w:ascii="Arial" w:hAnsi="Arial" w:cs="Arial"/>
          <w:sz w:val="24"/>
          <w:szCs w:val="24"/>
          <w:lang w:val="en-US"/>
        </w:rPr>
        <w:t xml:space="preserve">         </w:t>
      </w:r>
      <w:r w:rsidR="00ED3891" w:rsidRPr="006C074A">
        <w:rPr>
          <w:rFonts w:ascii="Arial" w:hAnsi="Arial" w:cs="Arial"/>
          <w:sz w:val="24"/>
          <w:szCs w:val="24"/>
          <w:lang w:val="en-US"/>
        </w:rPr>
        <w:t xml:space="preserve"> 269- 271. </w:t>
      </w:r>
    </w:p>
    <w:p w:rsidR="00A47E7B" w:rsidRPr="003073F7" w:rsidRDefault="00A47E7B">
      <w:pPr>
        <w:rPr>
          <w:rFonts w:ascii="Arial" w:hAnsi="Arial" w:cs="Arial"/>
          <w:sz w:val="24"/>
          <w:szCs w:val="24"/>
          <w:lang w:val="en-US"/>
        </w:rPr>
      </w:pPr>
    </w:p>
    <w:sectPr w:rsidR="00A47E7B" w:rsidRPr="003073F7">
      <w:headerReference w:type="even" r:id="rId28"/>
      <w:headerReference w:type="default" r:id="rId29"/>
      <w:footerReference w:type="even" r:id="rId30"/>
      <w:footerReference w:type="default" r:id="rId31"/>
      <w:headerReference w:type="first" r:id="rId32"/>
      <w:footerReference w:type="firs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07D" w:rsidRDefault="00F9707D" w:rsidP="00F9707D">
      <w:pPr>
        <w:spacing w:after="0" w:line="240" w:lineRule="auto"/>
      </w:pPr>
      <w:r>
        <w:separator/>
      </w:r>
    </w:p>
  </w:endnote>
  <w:endnote w:type="continuationSeparator" w:id="0">
    <w:p w:rsidR="00F9707D" w:rsidRDefault="00F9707D" w:rsidP="00F9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07D" w:rsidRDefault="00F970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07D" w:rsidRDefault="00F9707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07D" w:rsidRDefault="00F970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07D" w:rsidRDefault="00F9707D" w:rsidP="00F9707D">
      <w:pPr>
        <w:spacing w:after="0" w:line="240" w:lineRule="auto"/>
      </w:pPr>
      <w:r>
        <w:separator/>
      </w:r>
    </w:p>
  </w:footnote>
  <w:footnote w:type="continuationSeparator" w:id="0">
    <w:p w:rsidR="00F9707D" w:rsidRDefault="00F9707D" w:rsidP="00F97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07D" w:rsidRDefault="00F970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07D" w:rsidRDefault="00F9707D" w:rsidP="00F9707D">
    <w:pPr>
      <w:pStyle w:val="Encabezado"/>
    </w:pPr>
    <w:r w:rsidRPr="00546DE4">
      <w:rPr>
        <w:noProof/>
        <w:lang w:eastAsia="es-MX"/>
      </w:rPr>
      <w:drawing>
        <wp:inline distT="0" distB="0" distL="0" distR="0">
          <wp:extent cx="5649595" cy="1153795"/>
          <wp:effectExtent l="0" t="0" r="8255" b="8255"/>
          <wp:docPr id="8" name="Imagen 8"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9595" cy="1153795"/>
                  </a:xfrm>
                  <a:prstGeom prst="rect">
                    <a:avLst/>
                  </a:prstGeom>
                  <a:noFill/>
                  <a:ln>
                    <a:noFill/>
                  </a:ln>
                </pic:spPr>
              </pic:pic>
            </a:graphicData>
          </a:graphic>
        </wp:inline>
      </w:drawing>
    </w:r>
  </w:p>
  <w:p w:rsidR="00F9707D" w:rsidRDefault="00F9707D">
    <w:pPr>
      <w:pStyle w:val="Encabezado"/>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07D" w:rsidRDefault="00F970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631CAA"/>
    <w:multiLevelType w:val="hybridMultilevel"/>
    <w:tmpl w:val="FA0AEF6A"/>
    <w:lvl w:ilvl="0" w:tplc="080A000F">
      <w:start w:val="1"/>
      <w:numFmt w:val="decimal"/>
      <w:lvlText w:val="%1."/>
      <w:lvlJc w:val="left"/>
      <w:pPr>
        <w:ind w:left="720" w:hanging="360"/>
      </w:pPr>
      <w:rPr>
        <w:rFonts w:eastAsia="Times New Roman"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FB63FA4"/>
    <w:multiLevelType w:val="hybridMultilevel"/>
    <w:tmpl w:val="5AD2912E"/>
    <w:lvl w:ilvl="0" w:tplc="EF5A08C2">
      <w:start w:val="1"/>
      <w:numFmt w:val="decimal"/>
      <w:lvlText w:val="[%1]"/>
      <w:lvlJc w:val="center"/>
      <w:pPr>
        <w:ind w:left="720" w:hanging="360"/>
      </w:pPr>
      <w:rPr>
        <w:rFonts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91"/>
    <w:rsid w:val="000E31E6"/>
    <w:rsid w:val="00245177"/>
    <w:rsid w:val="002577B9"/>
    <w:rsid w:val="002E2C85"/>
    <w:rsid w:val="003073F7"/>
    <w:rsid w:val="003A195B"/>
    <w:rsid w:val="00401708"/>
    <w:rsid w:val="004E4E19"/>
    <w:rsid w:val="00543633"/>
    <w:rsid w:val="00545C43"/>
    <w:rsid w:val="005F64C9"/>
    <w:rsid w:val="006C074A"/>
    <w:rsid w:val="006F174C"/>
    <w:rsid w:val="0071761E"/>
    <w:rsid w:val="008B6F4D"/>
    <w:rsid w:val="00A47E7B"/>
    <w:rsid w:val="00B02140"/>
    <w:rsid w:val="00B47ABE"/>
    <w:rsid w:val="00BD6026"/>
    <w:rsid w:val="00CA7649"/>
    <w:rsid w:val="00D43F57"/>
    <w:rsid w:val="00ED3891"/>
    <w:rsid w:val="00F970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DC67858E-4E29-47BB-94E7-18F1ACB3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8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38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3891"/>
    <w:rPr>
      <w:rFonts w:ascii="Tahoma" w:hAnsi="Tahoma" w:cs="Tahoma"/>
      <w:sz w:val="16"/>
      <w:szCs w:val="16"/>
    </w:rPr>
  </w:style>
  <w:style w:type="character" w:styleId="Hipervnculo">
    <w:name w:val="Hyperlink"/>
    <w:basedOn w:val="Fuentedeprrafopredeter"/>
    <w:uiPriority w:val="99"/>
    <w:unhideWhenUsed/>
    <w:rsid w:val="006C074A"/>
    <w:rPr>
      <w:color w:val="0000FF" w:themeColor="hyperlink"/>
      <w:u w:val="single"/>
    </w:rPr>
  </w:style>
  <w:style w:type="character" w:customStyle="1" w:styleId="apple-converted-space">
    <w:name w:val="apple-converted-space"/>
    <w:basedOn w:val="Fuentedeprrafopredeter"/>
    <w:rsid w:val="006C074A"/>
  </w:style>
  <w:style w:type="character" w:styleId="Textoennegrita">
    <w:name w:val="Strong"/>
    <w:basedOn w:val="Fuentedeprrafopredeter"/>
    <w:uiPriority w:val="22"/>
    <w:qFormat/>
    <w:rsid w:val="006C074A"/>
    <w:rPr>
      <w:b/>
      <w:bCs/>
    </w:rPr>
  </w:style>
  <w:style w:type="paragraph" w:styleId="Encabezado">
    <w:name w:val="header"/>
    <w:basedOn w:val="Normal"/>
    <w:link w:val="EncabezadoCar"/>
    <w:unhideWhenUsed/>
    <w:rsid w:val="00F9707D"/>
    <w:pPr>
      <w:tabs>
        <w:tab w:val="center" w:pos="4419"/>
        <w:tab w:val="right" w:pos="8838"/>
      </w:tabs>
      <w:spacing w:after="0" w:line="240" w:lineRule="auto"/>
    </w:pPr>
  </w:style>
  <w:style w:type="character" w:customStyle="1" w:styleId="EncabezadoCar">
    <w:name w:val="Encabezado Car"/>
    <w:basedOn w:val="Fuentedeprrafopredeter"/>
    <w:link w:val="Encabezado"/>
    <w:rsid w:val="00F9707D"/>
  </w:style>
  <w:style w:type="paragraph" w:styleId="Piedepgina">
    <w:name w:val="footer"/>
    <w:basedOn w:val="Normal"/>
    <w:link w:val="PiedepginaCar"/>
    <w:uiPriority w:val="99"/>
    <w:unhideWhenUsed/>
    <w:rsid w:val="00F970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7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madinmx@yahoo.com.mx"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w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header" Target="header1.xml"/><Relationship Id="rId10" Type="http://schemas.openxmlformats.org/officeDocument/2006/relationships/hyperlink" Target="mailto:vero_jarm3@hotmail.com"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gromar05@hotmail.com" TargetMode="External"/><Relationship Id="rId14" Type="http://schemas.openxmlformats.org/officeDocument/2006/relationships/image" Target="media/image3.wmf"/><Relationship Id="rId22" Type="http://schemas.openxmlformats.org/officeDocument/2006/relationships/image" Target="media/image9.wmf"/><Relationship Id="rId27" Type="http://schemas.openxmlformats.org/officeDocument/2006/relationships/oleObject" Target="embeddings/oleObject6.bin"/><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36A71-5972-4D3E-BA79-2F5B1D87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Pages>
  <Words>3055</Words>
  <Characters>16806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Maricela</dc:creator>
  <cp:lastModifiedBy>efrain gutierrez chavez</cp:lastModifiedBy>
  <cp:revision>21</cp:revision>
  <dcterms:created xsi:type="dcterms:W3CDTF">2015-01-28T00:36:00Z</dcterms:created>
  <dcterms:modified xsi:type="dcterms:W3CDTF">2015-04-29T17:56:00Z</dcterms:modified>
</cp:coreProperties>
</file>